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1B73B">
      <w:pPr>
        <w:snapToGrid w:val="0"/>
        <w:spacing w:before="159" w:beforeLines="50" w:after="159" w:afterLines="50" w:line="360" w:lineRule="auto"/>
        <w:jc w:val="center"/>
        <w:outlineLvl w:val="0"/>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40"/>
          <w:szCs w:val="40"/>
          <w:highlight w:val="none"/>
          <w:lang w:eastAsia="zh-CN"/>
        </w:rPr>
        <w:t>东台市“十五五”供水规划项目</w:t>
      </w:r>
    </w:p>
    <w:p w14:paraId="3152A139">
      <w:pPr>
        <w:pStyle w:val="13"/>
        <w:rPr>
          <w:rFonts w:hint="eastAsia" w:ascii="宋体" w:hAnsi="宋体" w:eastAsia="宋体" w:cs="宋体"/>
          <w:color w:val="auto"/>
          <w:sz w:val="32"/>
          <w:szCs w:val="32"/>
          <w:highlight w:val="none"/>
        </w:rPr>
      </w:pPr>
    </w:p>
    <w:p w14:paraId="14C8D5C3">
      <w:pPr>
        <w:rPr>
          <w:rFonts w:hint="eastAsia" w:ascii="宋体" w:hAnsi="宋体" w:eastAsia="宋体" w:cs="宋体"/>
          <w:color w:val="auto"/>
          <w:highlight w:val="none"/>
        </w:rPr>
      </w:pPr>
    </w:p>
    <w:p w14:paraId="3D5BCA5D">
      <w:pPr>
        <w:tabs>
          <w:tab w:val="left" w:pos="2160"/>
          <w:tab w:val="left" w:pos="2340"/>
          <w:tab w:val="left" w:pos="5940"/>
          <w:tab w:val="left" w:pos="6120"/>
        </w:tabs>
        <w:snapToGrid w:val="0"/>
        <w:spacing w:line="856" w:lineRule="atLeast"/>
        <w:jc w:val="center"/>
        <w:outlineLvl w:val="0"/>
        <w:rPr>
          <w:rFonts w:hint="eastAsia" w:ascii="宋体" w:hAnsi="宋体" w:eastAsia="宋体" w:cs="宋体"/>
          <w:color w:val="auto"/>
          <w:sz w:val="84"/>
          <w:highlight w:val="none"/>
        </w:rPr>
      </w:pPr>
      <w:r>
        <w:rPr>
          <w:rFonts w:hint="eastAsia" w:ascii="宋体" w:hAnsi="宋体" w:eastAsia="宋体" w:cs="宋体"/>
          <w:b/>
          <w:color w:val="auto"/>
          <w:sz w:val="84"/>
          <w:highlight w:val="none"/>
        </w:rPr>
        <w:t>磋 商 文 件</w:t>
      </w:r>
    </w:p>
    <w:p w14:paraId="66995F6C">
      <w:pPr>
        <w:snapToGrid w:val="0"/>
        <w:spacing w:line="480" w:lineRule="auto"/>
        <w:jc w:val="center"/>
        <w:outlineLvl w:val="0"/>
        <w:rPr>
          <w:rFonts w:hint="eastAsia" w:ascii="宋体" w:hAnsi="宋体" w:eastAsia="宋体" w:cs="宋体"/>
          <w:b/>
          <w:color w:val="auto"/>
          <w:sz w:val="31"/>
          <w:highlight w:val="none"/>
        </w:rPr>
      </w:pPr>
    </w:p>
    <w:p w14:paraId="1C8999E1">
      <w:pPr>
        <w:snapToGrid w:val="0"/>
        <w:spacing w:line="480" w:lineRule="auto"/>
        <w:jc w:val="center"/>
        <w:outlineLvl w:val="0"/>
        <w:rPr>
          <w:rFonts w:hint="eastAsia" w:ascii="宋体" w:hAnsi="宋体" w:eastAsia="宋体" w:cs="宋体"/>
          <w:b/>
          <w:bCs/>
          <w:color w:val="auto"/>
          <w:highlight w:val="none"/>
        </w:rPr>
      </w:pPr>
      <w:r>
        <w:rPr>
          <w:rFonts w:hint="eastAsia" w:ascii="宋体" w:hAnsi="宋体" w:eastAsia="宋体" w:cs="宋体"/>
          <w:b/>
          <w:color w:val="auto"/>
          <w:sz w:val="31"/>
          <w:highlight w:val="none"/>
        </w:rPr>
        <w:t>（不见面开标）</w:t>
      </w:r>
    </w:p>
    <w:p w14:paraId="0780545E">
      <w:pPr>
        <w:pStyle w:val="13"/>
        <w:rPr>
          <w:rFonts w:hint="eastAsia" w:ascii="宋体" w:hAnsi="宋体" w:eastAsia="宋体" w:cs="宋体"/>
          <w:b/>
          <w:bCs/>
          <w:color w:val="auto"/>
          <w:highlight w:val="none"/>
        </w:rPr>
      </w:pPr>
    </w:p>
    <w:p w14:paraId="4FCB261B">
      <w:pPr>
        <w:pStyle w:val="13"/>
        <w:rPr>
          <w:rFonts w:hint="eastAsia" w:ascii="宋体" w:hAnsi="宋体" w:eastAsia="宋体" w:cs="宋体"/>
          <w:b/>
          <w:bCs/>
          <w:color w:val="auto"/>
          <w:highlight w:val="none"/>
        </w:rPr>
      </w:pPr>
    </w:p>
    <w:p w14:paraId="0EDC11F3">
      <w:pPr>
        <w:snapToGrid w:val="0"/>
        <w:spacing w:line="413" w:lineRule="atLeast"/>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14:paraId="1E8D7DF2">
      <w:pPr>
        <w:pStyle w:val="13"/>
        <w:rPr>
          <w:rFonts w:hint="eastAsia" w:ascii="宋体" w:hAnsi="宋体" w:eastAsia="宋体" w:cs="宋体"/>
          <w:b/>
          <w:bCs/>
          <w:color w:val="auto"/>
          <w:highlight w:val="none"/>
        </w:rPr>
      </w:pPr>
    </w:p>
    <w:p w14:paraId="54C3E8D0">
      <w:pPr>
        <w:pStyle w:val="13"/>
        <w:rPr>
          <w:rFonts w:hint="eastAsia" w:ascii="宋体" w:hAnsi="宋体" w:eastAsia="宋体" w:cs="宋体"/>
          <w:b/>
          <w:bCs/>
          <w:color w:val="auto"/>
          <w:highlight w:val="none"/>
        </w:rPr>
      </w:pPr>
    </w:p>
    <w:p w14:paraId="334FDC57">
      <w:pPr>
        <w:pStyle w:val="13"/>
        <w:rPr>
          <w:rFonts w:hint="eastAsia" w:ascii="宋体" w:hAnsi="宋体" w:eastAsia="宋体" w:cs="宋体"/>
          <w:b/>
          <w:bCs/>
          <w:color w:val="auto"/>
          <w:highlight w:val="none"/>
        </w:rPr>
      </w:pPr>
    </w:p>
    <w:p w14:paraId="6060214C">
      <w:pPr>
        <w:pStyle w:val="13"/>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p>
    <w:p w14:paraId="2006FBA7">
      <w:pPr>
        <w:pStyle w:val="13"/>
        <w:rPr>
          <w:rFonts w:hint="eastAsia" w:ascii="宋体" w:hAnsi="宋体" w:eastAsia="宋体" w:cs="宋体"/>
          <w:b/>
          <w:bCs/>
          <w:color w:val="auto"/>
          <w:highlight w:val="none"/>
          <w:lang w:eastAsia="zh-CN"/>
        </w:rPr>
      </w:pPr>
    </w:p>
    <w:p w14:paraId="1C8A794D">
      <w:pPr>
        <w:pStyle w:val="13"/>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p>
    <w:p w14:paraId="587297B7">
      <w:pPr>
        <w:pStyle w:val="13"/>
        <w:rPr>
          <w:rFonts w:hint="eastAsia" w:ascii="宋体" w:hAnsi="宋体" w:eastAsia="宋体" w:cs="宋体"/>
          <w:b/>
          <w:bCs/>
          <w:color w:val="auto"/>
          <w:highlight w:val="none"/>
        </w:rPr>
      </w:pPr>
    </w:p>
    <w:p w14:paraId="6F59FD06">
      <w:pPr>
        <w:pStyle w:val="13"/>
        <w:rPr>
          <w:rFonts w:hint="eastAsia" w:ascii="宋体" w:hAnsi="宋体" w:eastAsia="宋体" w:cs="宋体"/>
          <w:b/>
          <w:bCs/>
          <w:color w:val="auto"/>
          <w:highlight w:val="none"/>
        </w:rPr>
      </w:pPr>
    </w:p>
    <w:p w14:paraId="6B2295EE">
      <w:pPr>
        <w:pStyle w:val="13"/>
        <w:rPr>
          <w:rFonts w:hint="eastAsia" w:ascii="宋体" w:hAnsi="宋体" w:eastAsia="宋体" w:cs="宋体"/>
          <w:b/>
          <w:bCs/>
          <w:color w:val="auto"/>
          <w:highlight w:val="none"/>
        </w:rPr>
      </w:pPr>
    </w:p>
    <w:p w14:paraId="203B4378">
      <w:pPr>
        <w:pStyle w:val="13"/>
        <w:rPr>
          <w:rFonts w:hint="eastAsia" w:ascii="宋体" w:hAnsi="宋体" w:eastAsia="宋体" w:cs="宋体"/>
          <w:b/>
          <w:bCs/>
          <w:color w:val="auto"/>
          <w:highlight w:val="none"/>
        </w:rPr>
      </w:pPr>
    </w:p>
    <w:p w14:paraId="5945D579">
      <w:pPr>
        <w:pStyle w:val="13"/>
        <w:rPr>
          <w:rFonts w:hint="eastAsia" w:ascii="宋体" w:hAnsi="宋体" w:eastAsia="宋体" w:cs="宋体"/>
          <w:b/>
          <w:bCs/>
          <w:color w:val="auto"/>
          <w:highlight w:val="none"/>
        </w:rPr>
      </w:pPr>
    </w:p>
    <w:p w14:paraId="4380C6C3">
      <w:pPr>
        <w:pStyle w:val="13"/>
        <w:rPr>
          <w:rFonts w:hint="eastAsia" w:ascii="宋体" w:hAnsi="宋体" w:eastAsia="宋体" w:cs="宋体"/>
          <w:b/>
          <w:bCs/>
          <w:color w:val="auto"/>
          <w:highlight w:val="none"/>
        </w:rPr>
      </w:pPr>
    </w:p>
    <w:p w14:paraId="1DCE4A6C">
      <w:pPr>
        <w:snapToGrid w:val="0"/>
        <w:spacing w:line="453" w:lineRule="atLeast"/>
        <w:ind w:firstLine="2178" w:firstLineChars="700"/>
        <w:jc w:val="left"/>
        <w:rPr>
          <w:rFonts w:hint="eastAsia" w:ascii="宋体" w:hAnsi="宋体" w:eastAsia="宋体" w:cs="宋体"/>
          <w:b/>
          <w:color w:val="auto"/>
          <w:sz w:val="31"/>
          <w:highlight w:val="none"/>
        </w:rPr>
      </w:pPr>
    </w:p>
    <w:p w14:paraId="4BAA8917">
      <w:pPr>
        <w:keepNext w:val="0"/>
        <w:keepLines w:val="0"/>
        <w:pageBreakBefore w:val="0"/>
        <w:widowControl w:val="0"/>
        <w:kinsoku/>
        <w:wordWrap/>
        <w:overflowPunct/>
        <w:topLinePunct w:val="0"/>
        <w:autoSpaceDE/>
        <w:autoSpaceDN/>
        <w:bidi w:val="0"/>
        <w:adjustRightInd/>
        <w:snapToGrid w:val="0"/>
        <w:spacing w:line="480" w:lineRule="auto"/>
        <w:ind w:firstLine="622" w:firstLineChars="200"/>
        <w:textAlignment w:val="auto"/>
        <w:outlineLvl w:val="0"/>
        <w:rPr>
          <w:rFonts w:hint="eastAsia" w:ascii="宋体" w:hAnsi="宋体" w:eastAsia="宋体" w:cs="宋体"/>
          <w:b/>
          <w:color w:val="auto"/>
          <w:sz w:val="31"/>
          <w:highlight w:val="none"/>
        </w:rPr>
      </w:pPr>
      <w:r>
        <w:rPr>
          <w:rFonts w:hint="eastAsia" w:ascii="宋体" w:hAnsi="宋体" w:eastAsia="宋体" w:cs="宋体"/>
          <w:b/>
          <w:color w:val="auto"/>
          <w:sz w:val="31"/>
          <w:highlight w:val="none"/>
        </w:rPr>
        <w:t>采购人：</w:t>
      </w:r>
      <w:r>
        <w:rPr>
          <w:rFonts w:hint="eastAsia" w:ascii="宋体" w:hAnsi="宋体" w:eastAsia="宋体" w:cs="宋体"/>
          <w:b/>
          <w:color w:val="auto"/>
          <w:sz w:val="31"/>
          <w:highlight w:val="none"/>
          <w:u w:val="single"/>
        </w:rPr>
        <w:t xml:space="preserve"> </w:t>
      </w:r>
      <w:r>
        <w:rPr>
          <w:rFonts w:hint="eastAsia" w:ascii="宋体" w:hAnsi="宋体" w:eastAsia="宋体" w:cs="宋体"/>
          <w:b/>
          <w:color w:val="auto"/>
          <w:sz w:val="31"/>
          <w:szCs w:val="22"/>
          <w:highlight w:val="none"/>
          <w:u w:val="single"/>
        </w:rPr>
        <w:t xml:space="preserve">    </w:t>
      </w:r>
      <w:r>
        <w:rPr>
          <w:rFonts w:hint="eastAsia" w:ascii="宋体" w:hAnsi="宋体" w:eastAsia="宋体" w:cs="宋体"/>
          <w:b/>
          <w:color w:val="auto"/>
          <w:sz w:val="31"/>
          <w:szCs w:val="22"/>
          <w:highlight w:val="none"/>
          <w:u w:val="single"/>
          <w:lang w:eastAsia="zh-CN"/>
        </w:rPr>
        <w:t>东台市现代农业投资发展有限公司</w:t>
      </w:r>
      <w:r>
        <w:rPr>
          <w:rFonts w:hint="eastAsia" w:ascii="宋体" w:hAnsi="宋体" w:eastAsia="宋体" w:cs="宋体"/>
          <w:b/>
          <w:color w:val="auto"/>
          <w:sz w:val="31"/>
          <w:szCs w:val="22"/>
          <w:highlight w:val="none"/>
          <w:u w:val="single"/>
        </w:rPr>
        <w:t xml:space="preserve">   </w:t>
      </w:r>
      <w:r>
        <w:rPr>
          <w:rFonts w:hint="eastAsia" w:ascii="宋体" w:hAnsi="宋体" w:eastAsia="宋体" w:cs="宋体"/>
          <w:b/>
          <w:color w:val="auto"/>
          <w:sz w:val="31"/>
          <w:highlight w:val="none"/>
          <w:u w:val="single"/>
        </w:rPr>
        <w:t xml:space="preserve"> </w:t>
      </w:r>
      <w:r>
        <w:rPr>
          <w:rFonts w:hint="eastAsia" w:ascii="宋体" w:hAnsi="宋体" w:eastAsia="宋体" w:cs="宋体"/>
          <w:b/>
          <w:color w:val="auto"/>
          <w:sz w:val="31"/>
          <w:highlight w:val="none"/>
        </w:rPr>
        <w:t>(盖章)</w:t>
      </w:r>
    </w:p>
    <w:p w14:paraId="02AD5A51">
      <w:pPr>
        <w:keepNext w:val="0"/>
        <w:keepLines w:val="0"/>
        <w:pageBreakBefore w:val="0"/>
        <w:widowControl w:val="0"/>
        <w:kinsoku/>
        <w:wordWrap/>
        <w:overflowPunct/>
        <w:topLinePunct w:val="0"/>
        <w:autoSpaceDE/>
        <w:autoSpaceDN/>
        <w:bidi w:val="0"/>
        <w:adjustRightInd/>
        <w:snapToGrid w:val="0"/>
        <w:spacing w:line="480" w:lineRule="auto"/>
        <w:ind w:firstLine="622" w:firstLineChars="200"/>
        <w:textAlignment w:val="auto"/>
        <w:outlineLvl w:val="0"/>
        <w:rPr>
          <w:rFonts w:hint="eastAsia" w:ascii="宋体" w:hAnsi="宋体" w:eastAsia="宋体" w:cs="宋体"/>
          <w:b/>
          <w:color w:val="auto"/>
          <w:sz w:val="31"/>
          <w:highlight w:val="none"/>
        </w:rPr>
      </w:pPr>
      <w:r>
        <w:rPr>
          <w:rFonts w:hint="eastAsia" w:ascii="宋体" w:hAnsi="宋体" w:eastAsia="宋体" w:cs="宋体"/>
          <w:b/>
          <w:color w:val="auto"/>
          <w:sz w:val="31"/>
          <w:highlight w:val="none"/>
        </w:rPr>
        <w:t>法定代表人或其委托代理人：</w:t>
      </w:r>
      <w:r>
        <w:rPr>
          <w:rFonts w:hint="eastAsia" w:ascii="宋体" w:hAnsi="宋体" w:eastAsia="宋体" w:cs="宋体"/>
          <w:b/>
          <w:color w:val="auto"/>
          <w:sz w:val="31"/>
          <w:highlight w:val="none"/>
          <w:u w:val="single"/>
        </w:rPr>
        <w:t xml:space="preserve">               </w:t>
      </w:r>
      <w:r>
        <w:rPr>
          <w:rFonts w:hint="eastAsia" w:ascii="宋体" w:hAnsi="宋体" w:eastAsia="宋体" w:cs="宋体"/>
          <w:b/>
          <w:color w:val="auto"/>
          <w:sz w:val="31"/>
          <w:highlight w:val="none"/>
        </w:rPr>
        <w:t>(签字或盖章)</w:t>
      </w:r>
    </w:p>
    <w:p w14:paraId="6CBCE264">
      <w:pPr>
        <w:keepNext w:val="0"/>
        <w:keepLines w:val="0"/>
        <w:pageBreakBefore w:val="0"/>
        <w:widowControl w:val="0"/>
        <w:kinsoku/>
        <w:wordWrap/>
        <w:overflowPunct/>
        <w:topLinePunct w:val="0"/>
        <w:autoSpaceDE/>
        <w:autoSpaceDN/>
        <w:bidi w:val="0"/>
        <w:adjustRightInd/>
        <w:snapToGrid w:val="0"/>
        <w:spacing w:line="480" w:lineRule="auto"/>
        <w:ind w:firstLine="622" w:firstLineChars="200"/>
        <w:textAlignment w:val="auto"/>
        <w:rPr>
          <w:rFonts w:hint="eastAsia" w:ascii="宋体" w:hAnsi="宋体" w:eastAsia="宋体" w:cs="宋体"/>
          <w:b/>
          <w:color w:val="auto"/>
          <w:sz w:val="31"/>
          <w:highlight w:val="none"/>
        </w:rPr>
      </w:pPr>
    </w:p>
    <w:p w14:paraId="4CC784B6">
      <w:pPr>
        <w:keepNext w:val="0"/>
        <w:keepLines w:val="0"/>
        <w:pageBreakBefore w:val="0"/>
        <w:widowControl w:val="0"/>
        <w:kinsoku/>
        <w:wordWrap/>
        <w:overflowPunct/>
        <w:topLinePunct w:val="0"/>
        <w:autoSpaceDE/>
        <w:autoSpaceDN/>
        <w:bidi w:val="0"/>
        <w:adjustRightInd/>
        <w:snapToGrid w:val="0"/>
        <w:spacing w:line="480" w:lineRule="auto"/>
        <w:ind w:firstLine="622" w:firstLineChars="200"/>
        <w:textAlignment w:val="auto"/>
        <w:outlineLvl w:val="0"/>
        <w:rPr>
          <w:rFonts w:hint="eastAsia" w:ascii="宋体" w:hAnsi="宋体" w:eastAsia="宋体" w:cs="宋体"/>
          <w:b/>
          <w:color w:val="auto"/>
          <w:sz w:val="31"/>
          <w:highlight w:val="none"/>
        </w:rPr>
      </w:pPr>
      <w:r>
        <w:rPr>
          <w:rFonts w:hint="eastAsia" w:ascii="宋体" w:hAnsi="宋体" w:eastAsia="宋体" w:cs="宋体"/>
          <w:b/>
          <w:color w:val="auto"/>
          <w:sz w:val="31"/>
          <w:highlight w:val="none"/>
        </w:rPr>
        <w:t>采购代理机构：</w:t>
      </w:r>
      <w:r>
        <w:rPr>
          <w:rFonts w:hint="eastAsia" w:ascii="宋体" w:hAnsi="宋体" w:eastAsia="宋体" w:cs="宋体"/>
          <w:b/>
          <w:color w:val="auto"/>
          <w:sz w:val="31"/>
          <w:highlight w:val="none"/>
          <w:u w:val="single"/>
        </w:rPr>
        <w:t xml:space="preserve">   东台市兴华招标代理有限公司    </w:t>
      </w:r>
      <w:r>
        <w:rPr>
          <w:rFonts w:hint="eastAsia" w:ascii="宋体" w:hAnsi="宋体" w:eastAsia="宋体" w:cs="宋体"/>
          <w:b/>
          <w:color w:val="auto"/>
          <w:sz w:val="31"/>
          <w:highlight w:val="none"/>
        </w:rPr>
        <w:t>(盖章)</w:t>
      </w:r>
    </w:p>
    <w:p w14:paraId="0B3AEDB9">
      <w:pPr>
        <w:keepNext w:val="0"/>
        <w:keepLines w:val="0"/>
        <w:pageBreakBefore w:val="0"/>
        <w:widowControl w:val="0"/>
        <w:kinsoku/>
        <w:wordWrap/>
        <w:overflowPunct/>
        <w:topLinePunct w:val="0"/>
        <w:autoSpaceDE/>
        <w:autoSpaceDN/>
        <w:bidi w:val="0"/>
        <w:adjustRightInd/>
        <w:snapToGrid w:val="0"/>
        <w:spacing w:line="480" w:lineRule="auto"/>
        <w:ind w:firstLine="622" w:firstLineChars="200"/>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color w:val="auto"/>
          <w:sz w:val="31"/>
          <w:highlight w:val="none"/>
        </w:rPr>
        <w:t>法定代表人或其委托代理人：</w:t>
      </w:r>
      <w:r>
        <w:rPr>
          <w:rFonts w:hint="eastAsia" w:ascii="宋体" w:hAnsi="宋体" w:eastAsia="宋体" w:cs="宋体"/>
          <w:b/>
          <w:color w:val="auto"/>
          <w:sz w:val="31"/>
          <w:highlight w:val="none"/>
          <w:u w:val="single"/>
        </w:rPr>
        <w:t xml:space="preserve">               </w:t>
      </w:r>
      <w:r>
        <w:rPr>
          <w:rFonts w:hint="eastAsia" w:ascii="宋体" w:hAnsi="宋体" w:eastAsia="宋体" w:cs="宋体"/>
          <w:b/>
          <w:color w:val="auto"/>
          <w:sz w:val="31"/>
          <w:highlight w:val="none"/>
        </w:rPr>
        <w:t>(签字或盖章)</w:t>
      </w:r>
    </w:p>
    <w:p w14:paraId="174049F9">
      <w:pPr>
        <w:tabs>
          <w:tab w:val="left" w:pos="900"/>
        </w:tabs>
        <w:spacing w:line="400" w:lineRule="exact"/>
        <w:ind w:left="420"/>
        <w:jc w:val="center"/>
        <w:outlineLvl w:val="0"/>
        <w:rPr>
          <w:rFonts w:hint="eastAsia" w:ascii="宋体" w:hAnsi="宋体" w:eastAsia="宋体" w:cs="宋体"/>
          <w:b/>
          <w:bCs/>
          <w:color w:val="auto"/>
          <w:sz w:val="36"/>
          <w:szCs w:val="36"/>
          <w:highlight w:val="none"/>
        </w:rPr>
      </w:pPr>
    </w:p>
    <w:p w14:paraId="0606ECA9">
      <w:pPr>
        <w:tabs>
          <w:tab w:val="left" w:pos="900"/>
        </w:tabs>
        <w:spacing w:line="400" w:lineRule="exact"/>
        <w:ind w:left="42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2025年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月</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日</w:t>
      </w:r>
    </w:p>
    <w:p w14:paraId="32D3DF35">
      <w:pPr>
        <w:tabs>
          <w:tab w:val="left" w:pos="900"/>
        </w:tabs>
        <w:spacing w:line="400" w:lineRule="exact"/>
        <w:ind w:left="420"/>
        <w:jc w:val="center"/>
        <w:outlineLvl w:val="0"/>
        <w:rPr>
          <w:rFonts w:hint="eastAsia" w:ascii="宋体" w:hAnsi="宋体" w:eastAsia="宋体" w:cs="宋体"/>
          <w:b/>
          <w:bCs/>
          <w:color w:val="auto"/>
          <w:sz w:val="36"/>
          <w:szCs w:val="36"/>
          <w:highlight w:val="none"/>
        </w:rPr>
      </w:pPr>
    </w:p>
    <w:p w14:paraId="36BF0B5B">
      <w:pPr>
        <w:tabs>
          <w:tab w:val="left" w:pos="900"/>
        </w:tabs>
        <w:spacing w:line="400" w:lineRule="exact"/>
        <w:ind w:left="420"/>
        <w:jc w:val="center"/>
        <w:outlineLvl w:val="0"/>
        <w:rPr>
          <w:rFonts w:hint="eastAsia" w:ascii="宋体" w:hAnsi="宋体" w:eastAsia="宋体" w:cs="宋体"/>
          <w:b/>
          <w:bCs/>
          <w:color w:val="auto"/>
          <w:sz w:val="24"/>
          <w:szCs w:val="24"/>
          <w:highlight w:val="none"/>
        </w:rPr>
      </w:pPr>
      <w:bookmarkStart w:id="0" w:name="OLE_LINK17"/>
      <w:r>
        <w:rPr>
          <w:rFonts w:hint="eastAsia" w:ascii="宋体" w:hAnsi="宋体" w:eastAsia="宋体" w:cs="宋体"/>
          <w:b/>
          <w:bCs/>
          <w:color w:val="auto"/>
          <w:sz w:val="36"/>
          <w:szCs w:val="36"/>
          <w:highlight w:val="none"/>
        </w:rPr>
        <w:t>竞 争 性 磋 商 公 告</w:t>
      </w:r>
    </w:p>
    <w:p w14:paraId="10EBA364">
      <w:pPr>
        <w:tabs>
          <w:tab w:val="left" w:pos="900"/>
        </w:tabs>
        <w:spacing w:line="400" w:lineRule="exact"/>
        <w:ind w:left="420"/>
        <w:outlineLvl w:val="0"/>
        <w:rPr>
          <w:rFonts w:hint="eastAsia" w:ascii="宋体" w:hAnsi="宋体" w:eastAsia="宋体" w:cs="宋体"/>
          <w:b/>
          <w:bCs/>
          <w:color w:val="auto"/>
          <w:sz w:val="24"/>
          <w:szCs w:val="24"/>
          <w:highlight w:val="none"/>
        </w:rPr>
      </w:pPr>
    </w:p>
    <w:p w14:paraId="50EE171D">
      <w:pPr>
        <w:tabs>
          <w:tab w:val="left" w:pos="900"/>
        </w:tabs>
        <w:spacing w:line="400" w:lineRule="exact"/>
        <w:ind w:left="420"/>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4C387617">
      <w:pPr>
        <w:tabs>
          <w:tab w:val="left" w:pos="900"/>
        </w:tabs>
        <w:spacing w:line="400" w:lineRule="exact"/>
        <w:ind w:firstLine="420" w:firstLineChars="175"/>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eastAsia="zh-CN"/>
        </w:rPr>
        <w:t>东台市“十五五”供水规划项目</w:t>
      </w:r>
    </w:p>
    <w:p w14:paraId="69E8D508">
      <w:pPr>
        <w:tabs>
          <w:tab w:val="left" w:pos="900"/>
        </w:tabs>
        <w:spacing w:line="400" w:lineRule="exact"/>
        <w:ind w:lef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u w:val="single"/>
        </w:rPr>
        <w:t>竞争性磋商</w:t>
      </w:r>
    </w:p>
    <w:p w14:paraId="08538D4A">
      <w:pPr>
        <w:tabs>
          <w:tab w:val="left" w:pos="900"/>
        </w:tabs>
        <w:spacing w:line="4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u w:val="single"/>
          <w:lang w:val="en-US" w:eastAsia="zh-CN"/>
        </w:rPr>
        <w:t>60万元</w:t>
      </w:r>
    </w:p>
    <w:p w14:paraId="4611F817">
      <w:pPr>
        <w:tabs>
          <w:tab w:val="left" w:pos="900"/>
        </w:tabs>
        <w:spacing w:line="4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bookmarkStart w:id="1" w:name="OLE_LINK14"/>
      <w:r>
        <w:rPr>
          <w:rFonts w:hint="eastAsia" w:ascii="宋体" w:hAnsi="宋体" w:eastAsia="宋体" w:cs="宋体"/>
          <w:color w:val="auto"/>
          <w:sz w:val="24"/>
          <w:szCs w:val="24"/>
          <w:highlight w:val="none"/>
          <w:lang w:eastAsia="zh-CN"/>
        </w:rPr>
        <w:t>东台市“十五五”供水规划项目</w:t>
      </w:r>
      <w:r>
        <w:rPr>
          <w:rFonts w:hint="eastAsia" w:ascii="宋体" w:hAnsi="宋体" w:eastAsia="宋体" w:cs="宋体"/>
          <w:color w:val="auto"/>
          <w:sz w:val="24"/>
          <w:szCs w:val="24"/>
          <w:highlight w:val="none"/>
        </w:rPr>
        <w:t>，具体详见竞争性磋商文件，</w:t>
      </w:r>
      <w:bookmarkStart w:id="2" w:name="OLE_LINK8"/>
      <w:r>
        <w:rPr>
          <w:rFonts w:hint="eastAsia" w:ascii="宋体" w:hAnsi="宋体" w:eastAsia="宋体" w:cs="宋体"/>
          <w:color w:val="auto"/>
          <w:sz w:val="24"/>
          <w:szCs w:val="24"/>
          <w:highlight w:val="none"/>
        </w:rPr>
        <w:t>采购人保留调整部分工程量的权利</w:t>
      </w:r>
      <w:bookmarkEnd w:id="2"/>
      <w:r>
        <w:rPr>
          <w:rFonts w:hint="eastAsia" w:ascii="宋体" w:hAnsi="宋体" w:eastAsia="宋体" w:cs="宋体"/>
          <w:color w:val="auto"/>
          <w:sz w:val="24"/>
          <w:szCs w:val="24"/>
          <w:highlight w:val="none"/>
        </w:rPr>
        <w:t>。</w:t>
      </w:r>
      <w:bookmarkEnd w:id="1"/>
    </w:p>
    <w:p w14:paraId="42E64E23">
      <w:pPr>
        <w:tabs>
          <w:tab w:val="left" w:pos="900"/>
        </w:tabs>
        <w:spacing w:line="400" w:lineRule="exact"/>
        <w:ind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合同履行期限：</w:t>
      </w:r>
      <w:bookmarkStart w:id="3" w:name="OLE_LINK20"/>
      <w:r>
        <w:rPr>
          <w:rFonts w:hint="eastAsia" w:ascii="宋体" w:hAnsi="宋体" w:eastAsia="宋体" w:cs="宋体"/>
          <w:color w:val="auto"/>
          <w:sz w:val="24"/>
          <w:szCs w:val="24"/>
          <w:highlight w:val="none"/>
          <w:u w:val="single"/>
        </w:rPr>
        <w:t>自合同签订之日起90日历天内提交专家评审通过的成果</w:t>
      </w:r>
      <w:r>
        <w:rPr>
          <w:rFonts w:hint="eastAsia" w:ascii="宋体" w:hAnsi="宋体" w:cs="宋体"/>
          <w:color w:val="auto"/>
          <w:sz w:val="24"/>
          <w:szCs w:val="24"/>
          <w:highlight w:val="none"/>
          <w:u w:val="single"/>
          <w:lang w:eastAsia="zh-CN"/>
        </w:rPr>
        <w:t>，配合采购人做好成果报批及修编工作</w:t>
      </w:r>
      <w:r>
        <w:rPr>
          <w:rFonts w:hint="eastAsia" w:ascii="宋体" w:hAnsi="宋体" w:eastAsia="宋体" w:cs="宋体"/>
          <w:color w:val="auto"/>
          <w:sz w:val="24"/>
          <w:szCs w:val="24"/>
          <w:highlight w:val="none"/>
          <w:u w:val="single"/>
        </w:rPr>
        <w:t>。</w:t>
      </w:r>
      <w:bookmarkEnd w:id="3"/>
    </w:p>
    <w:p w14:paraId="4F9EFBB4">
      <w:pPr>
        <w:tabs>
          <w:tab w:val="left" w:pos="900"/>
        </w:tabs>
        <w:spacing w:line="400" w:lineRule="exact"/>
        <w:ind w:left="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本项目（</w:t>
      </w:r>
      <w:r>
        <w:rPr>
          <w:rFonts w:hint="eastAsia" w:ascii="宋体" w:hAnsi="宋体" w:eastAsia="宋体" w:cs="宋体"/>
          <w:i/>
          <w:iCs/>
          <w:color w:val="auto"/>
          <w:sz w:val="24"/>
          <w:szCs w:val="24"/>
          <w:highlight w:val="none"/>
        </w:rPr>
        <w:t>是/否</w:t>
      </w:r>
      <w:r>
        <w:rPr>
          <w:rFonts w:hint="eastAsia" w:ascii="宋体" w:hAnsi="宋体" w:eastAsia="宋体" w:cs="宋体"/>
          <w:color w:val="auto"/>
          <w:sz w:val="24"/>
          <w:szCs w:val="24"/>
          <w:highlight w:val="none"/>
        </w:rPr>
        <w:t>）接受联合体：</w:t>
      </w:r>
      <w:r>
        <w:rPr>
          <w:rFonts w:hint="eastAsia" w:ascii="宋体" w:hAnsi="宋体" w:eastAsia="宋体" w:cs="宋体"/>
          <w:color w:val="auto"/>
          <w:sz w:val="24"/>
          <w:szCs w:val="24"/>
          <w:highlight w:val="none"/>
          <w:u w:val="single"/>
        </w:rPr>
        <w:t>否</w:t>
      </w:r>
    </w:p>
    <w:p w14:paraId="1CE9E292">
      <w:pPr>
        <w:tabs>
          <w:tab w:val="left" w:pos="900"/>
        </w:tabs>
        <w:spacing w:line="400" w:lineRule="exact"/>
        <w:ind w:left="420"/>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3E5C74E4">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1.满足《中华人民共和国政府采购法》第二十二条规定，并提供下列资料：</w:t>
      </w:r>
    </w:p>
    <w:p w14:paraId="62B1D4B7">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（1）法人或者其他组织的营业执照等证明文件，自然人的身份证明；</w:t>
      </w:r>
    </w:p>
    <w:p w14:paraId="15D50D45">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（2）上一年度（或上上年度）经审计的财务报告（成立不满一年不需提供）或出具银行的资信证明；</w:t>
      </w:r>
    </w:p>
    <w:p w14:paraId="51615163">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（3）依法缴纳税收和社会保障资金的相关材料（近期）；</w:t>
      </w:r>
    </w:p>
    <w:p w14:paraId="59242039">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（4）具备履行合同所必需的设备和专业技术能力的书面声明；</w:t>
      </w:r>
    </w:p>
    <w:p w14:paraId="725C82C0">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（5）参加政府采购活动前3年内在经营活动中没有重大违法记录的书面声明。</w:t>
      </w:r>
    </w:p>
    <w:p w14:paraId="7385D1FC">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2.本项目的特定资格要求：</w:t>
      </w:r>
    </w:p>
    <w:p w14:paraId="731823D5">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（1）投标人如委托被授权人参与投标，则被授权人须为本单位正式职工并提供投标人为被授权人缴纳的社会养老保险证明；</w:t>
      </w:r>
    </w:p>
    <w:p w14:paraId="08CCE530">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（2）未被“信用中国”网站（www.creditchina.gov.cn）列入失信被执行人、重大税收违法案件当事人名单、政府采购严重失信行为记录名单；</w:t>
      </w:r>
    </w:p>
    <w:p w14:paraId="33366061">
      <w:pPr>
        <w:spacing w:line="360" w:lineRule="auto"/>
        <w:ind w:firstLine="480" w:firstLineChars="200"/>
        <w:outlineLvl w:val="1"/>
        <w:rPr>
          <w:rFonts w:hint="eastAsia" w:ascii="宋体" w:hAnsi="宋体" w:eastAsia="宋体" w:cs="宋体"/>
          <w:color w:val="auto"/>
          <w:sz w:val="24"/>
          <w:highlight w:val="none"/>
        </w:rPr>
      </w:pPr>
      <w:bookmarkStart w:id="4" w:name="OLE_LINK7"/>
      <w:r>
        <w:rPr>
          <w:rFonts w:hint="eastAsia" w:ascii="宋体" w:hAnsi="宋体" w:eastAsia="宋体" w:cs="宋体"/>
          <w:color w:val="auto"/>
          <w:sz w:val="24"/>
          <w:highlight w:val="none"/>
        </w:rPr>
        <w:t>（3）投标申请人资质类别和等级为：</w:t>
      </w:r>
      <w:r>
        <w:rPr>
          <w:rFonts w:hint="eastAsia" w:ascii="宋体" w:hAnsi="宋体" w:eastAsia="宋体" w:cs="宋体"/>
          <w:color w:val="auto"/>
          <w:sz w:val="24"/>
          <w:highlight w:val="none"/>
          <w:lang w:val="en-US" w:eastAsia="zh-CN"/>
        </w:rPr>
        <w:t>具备工程设计综合资质甲级或市政行业（燃气工程、轨道交通工程除外）乙级及以上设计资质</w:t>
      </w:r>
      <w:r>
        <w:rPr>
          <w:rFonts w:hint="eastAsia" w:ascii="宋体" w:hAnsi="宋体" w:eastAsia="宋体" w:cs="宋体"/>
          <w:color w:val="auto"/>
          <w:sz w:val="24"/>
          <w:highlight w:val="none"/>
        </w:rPr>
        <w:t>；</w:t>
      </w:r>
    </w:p>
    <w:bookmarkEnd w:id="4"/>
    <w:p w14:paraId="55093543">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3.本项目不接受联合体参与磋商。</w:t>
      </w:r>
    </w:p>
    <w:p w14:paraId="55AFC8B4">
      <w:pPr>
        <w:tabs>
          <w:tab w:val="left" w:pos="900"/>
        </w:tabs>
        <w:spacing w:line="400" w:lineRule="exact"/>
        <w:ind w:left="420"/>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150BAAE7">
      <w:pPr>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请申请人于2025年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日至2025年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rPr>
        <w:t>日至东台市兴华招标代理有限公司</w:t>
      </w:r>
      <w:r>
        <w:rPr>
          <w:rFonts w:hint="eastAsia" w:ascii="宋体" w:hAnsi="宋体" w:cs="宋体"/>
          <w:color w:val="auto"/>
          <w:sz w:val="24"/>
          <w:szCs w:val="24"/>
          <w:highlight w:val="none"/>
          <w:lang w:val="en-US" w:eastAsia="zh-CN"/>
        </w:rPr>
        <w:t>网站</w:t>
      </w:r>
      <w:r>
        <w:rPr>
          <w:rFonts w:hint="eastAsia" w:ascii="宋体" w:hAnsi="宋体" w:eastAsia="宋体" w:cs="宋体"/>
          <w:color w:val="auto"/>
          <w:sz w:val="24"/>
          <w:szCs w:val="24"/>
          <w:highlight w:val="none"/>
        </w:rPr>
        <w:t>获取竞争性磋商文件和相关资料，有关本次磋商的事项若存在澄清或修改，敬请及时关注“东台市兴华招标代理有限公司网站（www.dtxhzb.com）”发布的信息更正公告。</w:t>
      </w:r>
    </w:p>
    <w:p w14:paraId="4BD96DD7">
      <w:pPr>
        <w:spacing w:line="400" w:lineRule="exact"/>
        <w:ind w:left="420"/>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四、响应文件接收信息</w:t>
      </w:r>
      <w:r>
        <w:rPr>
          <w:rFonts w:hint="eastAsia" w:ascii="宋体" w:hAnsi="宋体" w:eastAsia="宋体" w:cs="宋体"/>
          <w:color w:val="auto"/>
          <w:sz w:val="24"/>
          <w:szCs w:val="24"/>
          <w:highlight w:val="none"/>
        </w:rPr>
        <w:t>：</w:t>
      </w:r>
    </w:p>
    <w:p w14:paraId="3D3A1B8A">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响应文件接收截止时间：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bookmarkStart w:id="5" w:name="OLE_LINK16"/>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分</w:t>
      </w:r>
      <w:bookmarkEnd w:id="5"/>
    </w:p>
    <w:p w14:paraId="7C4D601B">
      <w:pPr>
        <w:spacing w:line="400" w:lineRule="exact"/>
        <w:ind w:firstLine="480" w:firstLineChars="200"/>
        <w:rPr>
          <w:rFonts w:hint="eastAsia" w:ascii="宋体" w:hAnsi="宋体" w:eastAsia="宋体" w:cs="宋体"/>
          <w:color w:val="auto"/>
          <w:sz w:val="24"/>
          <w:szCs w:val="24"/>
          <w:highlight w:val="none"/>
          <w:u w:val="single"/>
        </w:rPr>
      </w:pPr>
      <w:bookmarkStart w:id="6" w:name="OLE_LINK1"/>
      <w:r>
        <w:rPr>
          <w:rFonts w:hint="eastAsia" w:ascii="宋体" w:hAnsi="宋体" w:eastAsia="宋体" w:cs="宋体"/>
          <w:color w:val="auto"/>
          <w:sz w:val="24"/>
          <w:szCs w:val="24"/>
          <w:highlight w:val="none"/>
        </w:rPr>
        <w:t>响应文件接收邮箱：</w:t>
      </w:r>
      <w:r>
        <w:rPr>
          <w:rFonts w:hint="eastAsia" w:ascii="宋体" w:hAnsi="宋体" w:eastAsia="宋体" w:cs="宋体"/>
          <w:color w:val="auto"/>
          <w:sz w:val="24"/>
          <w:szCs w:val="24"/>
          <w:highlight w:val="none"/>
          <w:u w:val="single"/>
        </w:rPr>
        <w:t>dtxhzb8@163.com</w:t>
      </w:r>
      <w:bookmarkEnd w:id="6"/>
    </w:p>
    <w:p w14:paraId="36FACB38">
      <w:pPr>
        <w:spacing w:line="400" w:lineRule="exact"/>
        <w:ind w:firstLine="482" w:firstLineChars="200"/>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五、开标有关信息：</w:t>
      </w:r>
    </w:p>
    <w:p w14:paraId="1450FC83">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分</w:t>
      </w:r>
    </w:p>
    <w:p w14:paraId="03D06EDC">
      <w:pPr>
        <w:spacing w:line="400" w:lineRule="exact"/>
        <w:ind w:firstLine="480" w:firstLineChars="200"/>
        <w:rPr>
          <w:rFonts w:hint="eastAsia" w:ascii="宋体" w:hAnsi="宋体" w:eastAsia="宋体" w:cs="宋体"/>
          <w:color w:val="auto"/>
          <w:sz w:val="24"/>
          <w:szCs w:val="24"/>
          <w:highlight w:val="none"/>
          <w:u w:val="single"/>
        </w:rPr>
      </w:pPr>
      <w:bookmarkStart w:id="7" w:name="OLE_LINK2"/>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u w:val="single"/>
        </w:rPr>
        <w:t>东台市兴华招标代理有限公司2楼开标室</w:t>
      </w:r>
    </w:p>
    <w:p w14:paraId="08D03C3C">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本次招标采取不见面开标方式，各供应商需在磋商前提前下载“腾讯会议”直播APP，加入会议，会议号（</w:t>
      </w:r>
      <w:r>
        <w:rPr>
          <w:rFonts w:hint="eastAsia" w:ascii="宋体" w:hAnsi="宋体" w:cs="宋体"/>
          <w:b/>
          <w:bCs/>
          <w:color w:val="auto"/>
          <w:sz w:val="24"/>
          <w:szCs w:val="24"/>
          <w:highlight w:val="yellow"/>
          <w:lang w:val="en-US" w:eastAsia="zh-CN"/>
        </w:rPr>
        <w:t>632 917 940</w:t>
      </w:r>
      <w:r>
        <w:rPr>
          <w:rFonts w:hint="eastAsia" w:ascii="宋体" w:hAnsi="宋体" w:eastAsia="宋体" w:cs="宋体"/>
          <w:b/>
          <w:bCs/>
          <w:color w:val="auto"/>
          <w:sz w:val="24"/>
          <w:szCs w:val="24"/>
          <w:highlight w:val="none"/>
        </w:rPr>
        <w:t>），直接观看直播和在线交流。</w:t>
      </w:r>
      <w:bookmarkEnd w:id="7"/>
    </w:p>
    <w:p w14:paraId="38DB3101">
      <w:pPr>
        <w:spacing w:line="400" w:lineRule="exact"/>
        <w:ind w:firstLine="482" w:firstLineChars="200"/>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六、对本次采购提出询问，请按以下方式联系</w:t>
      </w:r>
    </w:p>
    <w:p w14:paraId="7FF96CB3">
      <w:pPr>
        <w:spacing w:line="400" w:lineRule="exact"/>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248AB29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eastAsia="zh-CN"/>
        </w:rPr>
        <w:t>东台市现代农业投资发展有限公司</w:t>
      </w:r>
      <w:r>
        <w:rPr>
          <w:rFonts w:hint="eastAsia" w:ascii="宋体" w:hAnsi="宋体" w:eastAsia="宋体" w:cs="宋体"/>
          <w:color w:val="auto"/>
          <w:sz w:val="24"/>
          <w:szCs w:val="24"/>
          <w:highlight w:val="none"/>
          <w:u w:val="single"/>
        </w:rPr>
        <w:t xml:space="preserve"> </w:t>
      </w:r>
    </w:p>
    <w:p w14:paraId="2C36E3C7">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东台市广场路6号　　     　　　</w:t>
      </w:r>
    </w:p>
    <w:p w14:paraId="71867DF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eastAsia="zh-CN"/>
        </w:rPr>
        <w:t>18861960689</w:t>
      </w:r>
      <w:r>
        <w:rPr>
          <w:rFonts w:hint="eastAsia" w:ascii="宋体" w:hAnsi="宋体" w:eastAsia="宋体" w:cs="宋体"/>
          <w:color w:val="auto"/>
          <w:sz w:val="24"/>
          <w:szCs w:val="24"/>
          <w:highlight w:val="none"/>
          <w:u w:val="single"/>
        </w:rPr>
        <w:t xml:space="preserve">                    </w:t>
      </w:r>
    </w:p>
    <w:p w14:paraId="614A22C2">
      <w:pPr>
        <w:spacing w:line="400" w:lineRule="exact"/>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332DD14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东台市兴华招标代理有限公司     </w:t>
      </w:r>
    </w:p>
    <w:p w14:paraId="34C1E4C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东台市东达翰林缘小区12-104号  </w:t>
      </w:r>
    </w:p>
    <w:p w14:paraId="0FC8769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13655118166                    </w:t>
      </w:r>
    </w:p>
    <w:p w14:paraId="55943C25">
      <w:pPr>
        <w:spacing w:line="400" w:lineRule="exact"/>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6CB374CE">
      <w:pPr>
        <w:spacing w:line="400" w:lineRule="exact"/>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王先生</w:t>
      </w:r>
      <w:r>
        <w:rPr>
          <w:rFonts w:hint="eastAsia" w:ascii="宋体" w:hAnsi="宋体" w:eastAsia="宋体" w:cs="宋体"/>
          <w:color w:val="auto"/>
          <w:sz w:val="24"/>
          <w:szCs w:val="24"/>
          <w:highlight w:val="none"/>
          <w:u w:val="single"/>
        </w:rPr>
        <w:t xml:space="preserve">、吴先生  </w:t>
      </w:r>
      <w:r>
        <w:rPr>
          <w:rFonts w:hint="eastAsia" w:ascii="宋体" w:hAnsi="宋体" w:eastAsia="宋体" w:cs="宋体"/>
          <w:i/>
          <w:iCs/>
          <w:color w:val="auto"/>
          <w:sz w:val="24"/>
          <w:szCs w:val="24"/>
          <w:highlight w:val="none"/>
          <w:u w:val="single"/>
        </w:rPr>
        <w:t xml:space="preserve">            </w:t>
      </w:r>
    </w:p>
    <w:p w14:paraId="53BD4F39">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18861960689</w:t>
      </w:r>
      <w:r>
        <w:rPr>
          <w:rFonts w:hint="eastAsia" w:ascii="宋体" w:hAnsi="宋体" w:eastAsia="宋体" w:cs="宋体"/>
          <w:color w:val="auto"/>
          <w:sz w:val="24"/>
          <w:szCs w:val="24"/>
          <w:highlight w:val="none"/>
          <w:u w:val="single"/>
        </w:rPr>
        <w:t xml:space="preserve">、13655118166     </w:t>
      </w:r>
    </w:p>
    <w:p w14:paraId="31F81A19">
      <w:pPr>
        <w:pStyle w:val="18"/>
        <w:jc w:val="right"/>
        <w:rPr>
          <w:rFonts w:hint="eastAsia" w:ascii="宋体" w:hAnsi="宋体" w:eastAsia="宋体" w:cs="宋体"/>
          <w:color w:val="auto"/>
          <w:szCs w:val="24"/>
          <w:highlight w:val="none"/>
        </w:rPr>
      </w:pPr>
    </w:p>
    <w:p w14:paraId="484E4A5C">
      <w:pPr>
        <w:pStyle w:val="18"/>
        <w:jc w:val="right"/>
        <w:rPr>
          <w:rFonts w:hint="eastAsia" w:ascii="宋体" w:hAnsi="宋体" w:eastAsia="宋体" w:cs="宋体"/>
          <w:color w:val="auto"/>
          <w:highlight w:val="none"/>
        </w:rPr>
      </w:pPr>
      <w:r>
        <w:rPr>
          <w:rFonts w:hint="eastAsia" w:ascii="宋体" w:hAnsi="宋体" w:eastAsia="宋体" w:cs="宋体"/>
          <w:color w:val="auto"/>
          <w:szCs w:val="24"/>
          <w:highlight w:val="none"/>
        </w:rPr>
        <w:t>2025年</w:t>
      </w:r>
      <w:r>
        <w:rPr>
          <w:rFonts w:hint="eastAsia" w:ascii="宋体" w:hAnsi="宋体" w:cs="宋体"/>
          <w:color w:val="auto"/>
          <w:szCs w:val="24"/>
          <w:highlight w:val="none"/>
          <w:lang w:val="en-US" w:eastAsia="zh-CN"/>
        </w:rPr>
        <w:t>10</w:t>
      </w:r>
      <w:r>
        <w:rPr>
          <w:rFonts w:hint="eastAsia" w:ascii="宋体" w:hAnsi="宋体" w:eastAsia="宋体" w:cs="宋体"/>
          <w:color w:val="auto"/>
          <w:szCs w:val="24"/>
          <w:highlight w:val="none"/>
        </w:rPr>
        <w:t>月</w:t>
      </w:r>
      <w:r>
        <w:rPr>
          <w:rFonts w:hint="eastAsia" w:ascii="宋体" w:hAnsi="宋体" w:cs="宋体"/>
          <w:color w:val="auto"/>
          <w:szCs w:val="24"/>
          <w:highlight w:val="none"/>
          <w:lang w:val="en-US" w:eastAsia="zh-CN"/>
        </w:rPr>
        <w:t>11</w:t>
      </w:r>
      <w:r>
        <w:rPr>
          <w:rFonts w:hint="eastAsia" w:ascii="宋体" w:hAnsi="宋体" w:eastAsia="宋体" w:cs="宋体"/>
          <w:color w:val="auto"/>
          <w:szCs w:val="24"/>
          <w:highlight w:val="none"/>
        </w:rPr>
        <w:t>日</w:t>
      </w:r>
    </w:p>
    <w:bookmarkEnd w:id="0"/>
    <w:p w14:paraId="6C88EC85">
      <w:pPr>
        <w:spacing w:line="340" w:lineRule="exact"/>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32"/>
          <w:szCs w:val="32"/>
          <w:highlight w:val="none"/>
        </w:rPr>
        <w:t>第一章 磋商须知</w:t>
      </w:r>
    </w:p>
    <w:p w14:paraId="2124B814">
      <w:pPr>
        <w:spacing w:line="340" w:lineRule="exact"/>
        <w:ind w:firstLine="482" w:firstLineChars="200"/>
        <w:rPr>
          <w:rFonts w:hint="eastAsia" w:ascii="宋体" w:hAnsi="宋体" w:eastAsia="宋体" w:cs="宋体"/>
          <w:b/>
          <w:bCs/>
          <w:color w:val="auto"/>
          <w:sz w:val="24"/>
          <w:szCs w:val="24"/>
          <w:highlight w:val="none"/>
        </w:rPr>
      </w:pPr>
    </w:p>
    <w:p w14:paraId="6AF7A248">
      <w:pPr>
        <w:jc w:val="center"/>
        <w:outlineLvl w:val="1"/>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供应商须知前附表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3112"/>
        <w:gridCol w:w="5051"/>
      </w:tblGrid>
      <w:tr w14:paraId="2A67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56" w:type="dxa"/>
            <w:vAlign w:val="center"/>
          </w:tcPr>
          <w:p w14:paraId="793D88D5">
            <w:pPr>
              <w:jc w:val="center"/>
              <w:rPr>
                <w:rFonts w:hint="eastAsia" w:ascii="宋体" w:hAnsi="宋体" w:eastAsia="宋体" w:cs="宋体"/>
                <w:color w:val="auto"/>
                <w:highlight w:val="none"/>
              </w:rPr>
            </w:pPr>
            <w:r>
              <w:rPr>
                <w:rFonts w:hint="eastAsia" w:ascii="宋体" w:hAnsi="宋体" w:eastAsia="宋体" w:cs="宋体"/>
                <w:color w:val="auto"/>
                <w:highlight w:val="none"/>
              </w:rPr>
              <w:t>条款号</w:t>
            </w:r>
          </w:p>
        </w:tc>
        <w:tc>
          <w:tcPr>
            <w:tcW w:w="3112" w:type="dxa"/>
            <w:vAlign w:val="center"/>
          </w:tcPr>
          <w:p w14:paraId="130076B2">
            <w:pPr>
              <w:jc w:val="center"/>
              <w:rPr>
                <w:rFonts w:hint="eastAsia" w:ascii="宋体" w:hAnsi="宋体" w:eastAsia="宋体" w:cs="宋体"/>
                <w:color w:val="auto"/>
                <w:highlight w:val="none"/>
              </w:rPr>
            </w:pPr>
            <w:r>
              <w:rPr>
                <w:rFonts w:hint="eastAsia" w:ascii="宋体" w:hAnsi="宋体" w:eastAsia="宋体" w:cs="宋体"/>
                <w:color w:val="auto"/>
                <w:highlight w:val="none"/>
              </w:rPr>
              <w:t>条款名称</w:t>
            </w:r>
          </w:p>
        </w:tc>
        <w:tc>
          <w:tcPr>
            <w:tcW w:w="5051" w:type="dxa"/>
            <w:vAlign w:val="center"/>
          </w:tcPr>
          <w:p w14:paraId="1C0AC36B">
            <w:pPr>
              <w:jc w:val="center"/>
              <w:rPr>
                <w:rFonts w:hint="eastAsia" w:ascii="宋体" w:hAnsi="宋体" w:eastAsia="宋体" w:cs="宋体"/>
                <w:color w:val="auto"/>
                <w:highlight w:val="none"/>
              </w:rPr>
            </w:pPr>
            <w:r>
              <w:rPr>
                <w:rFonts w:hint="eastAsia" w:ascii="宋体" w:hAnsi="宋体" w:eastAsia="宋体" w:cs="宋体"/>
                <w:color w:val="auto"/>
                <w:highlight w:val="none"/>
              </w:rPr>
              <w:t>编列内容</w:t>
            </w:r>
          </w:p>
        </w:tc>
      </w:tr>
      <w:tr w14:paraId="0D8C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56" w:type="dxa"/>
            <w:vAlign w:val="center"/>
          </w:tcPr>
          <w:p w14:paraId="1BE85592">
            <w:pPr>
              <w:jc w:val="center"/>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3112" w:type="dxa"/>
            <w:vAlign w:val="center"/>
          </w:tcPr>
          <w:p w14:paraId="69556BAB">
            <w:pPr>
              <w:jc w:val="left"/>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5051" w:type="dxa"/>
            <w:vAlign w:val="center"/>
          </w:tcPr>
          <w:p w14:paraId="6ABCFE31">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东台市现代农业投资发展有限公司</w:t>
            </w:r>
          </w:p>
          <w:p w14:paraId="13F35B24">
            <w:pPr>
              <w:jc w:val="left"/>
              <w:rPr>
                <w:rFonts w:hint="eastAsia" w:ascii="宋体" w:hAnsi="宋体" w:eastAsia="宋体" w:cs="宋体"/>
                <w:color w:val="auto"/>
                <w:highlight w:val="none"/>
              </w:rPr>
            </w:pPr>
            <w:r>
              <w:rPr>
                <w:rFonts w:hint="eastAsia" w:ascii="宋体" w:hAnsi="宋体" w:eastAsia="宋体" w:cs="宋体"/>
                <w:color w:val="auto"/>
                <w:highlight w:val="none"/>
              </w:rPr>
              <w:t>地    址：东台市广场路6号</w:t>
            </w:r>
          </w:p>
          <w:p w14:paraId="14D26CFE">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18861960689</w:t>
            </w:r>
          </w:p>
        </w:tc>
      </w:tr>
      <w:tr w14:paraId="53EF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56" w:type="dxa"/>
            <w:vAlign w:val="center"/>
          </w:tcPr>
          <w:p w14:paraId="15AA7AEA">
            <w:pPr>
              <w:jc w:val="center"/>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3112" w:type="dxa"/>
            <w:vAlign w:val="center"/>
          </w:tcPr>
          <w:p w14:paraId="42DB258B">
            <w:pPr>
              <w:jc w:val="left"/>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5051" w:type="dxa"/>
            <w:vAlign w:val="center"/>
          </w:tcPr>
          <w:p w14:paraId="2E906151">
            <w:pPr>
              <w:jc w:val="left"/>
              <w:rPr>
                <w:rFonts w:hint="eastAsia" w:ascii="宋体" w:hAnsi="宋体" w:eastAsia="宋体" w:cs="宋体"/>
                <w:color w:val="auto"/>
                <w:highlight w:val="none"/>
              </w:rPr>
            </w:pPr>
            <w:r>
              <w:rPr>
                <w:rFonts w:hint="eastAsia" w:ascii="宋体" w:hAnsi="宋体" w:eastAsia="宋体" w:cs="宋体"/>
                <w:color w:val="auto"/>
                <w:highlight w:val="none"/>
              </w:rPr>
              <w:t>名    称：东台市兴华招标代理有限公司</w:t>
            </w:r>
          </w:p>
          <w:p w14:paraId="0D372E73">
            <w:pPr>
              <w:jc w:val="left"/>
              <w:rPr>
                <w:rFonts w:hint="eastAsia" w:ascii="宋体" w:hAnsi="宋体" w:eastAsia="宋体" w:cs="宋体"/>
                <w:color w:val="auto"/>
                <w:highlight w:val="none"/>
              </w:rPr>
            </w:pPr>
            <w:r>
              <w:rPr>
                <w:rFonts w:hint="eastAsia" w:ascii="宋体" w:hAnsi="宋体" w:eastAsia="宋体" w:cs="宋体"/>
                <w:color w:val="auto"/>
                <w:highlight w:val="none"/>
              </w:rPr>
              <w:t>地    址：东达翰林缘小区12-104号</w:t>
            </w:r>
          </w:p>
          <w:p w14:paraId="482C0F2B">
            <w:pPr>
              <w:jc w:val="left"/>
              <w:rPr>
                <w:rFonts w:hint="eastAsia" w:ascii="宋体" w:hAnsi="宋体" w:eastAsia="宋体" w:cs="宋体"/>
                <w:color w:val="auto"/>
                <w:highlight w:val="none"/>
              </w:rPr>
            </w:pPr>
            <w:r>
              <w:rPr>
                <w:rFonts w:hint="eastAsia" w:ascii="宋体" w:hAnsi="宋体" w:eastAsia="宋体" w:cs="宋体"/>
                <w:color w:val="auto"/>
                <w:highlight w:val="none"/>
              </w:rPr>
              <w:t>联系电话：13655118166</w:t>
            </w:r>
          </w:p>
        </w:tc>
      </w:tr>
      <w:tr w14:paraId="6146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6" w:type="dxa"/>
            <w:vAlign w:val="center"/>
          </w:tcPr>
          <w:p w14:paraId="2A1DF9F3">
            <w:pPr>
              <w:jc w:val="center"/>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3112" w:type="dxa"/>
            <w:vAlign w:val="center"/>
          </w:tcPr>
          <w:p w14:paraId="7499368C">
            <w:pPr>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051" w:type="dxa"/>
            <w:vAlign w:val="center"/>
          </w:tcPr>
          <w:p w14:paraId="773F8256">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东台市“十五五”供水规划项目</w:t>
            </w:r>
          </w:p>
        </w:tc>
      </w:tr>
      <w:tr w14:paraId="3C65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6" w:type="dxa"/>
            <w:vAlign w:val="center"/>
          </w:tcPr>
          <w:p w14:paraId="5B0AAC40">
            <w:pPr>
              <w:jc w:val="center"/>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3112" w:type="dxa"/>
            <w:vAlign w:val="center"/>
          </w:tcPr>
          <w:p w14:paraId="0932F5C5">
            <w:pPr>
              <w:jc w:val="left"/>
              <w:rPr>
                <w:rFonts w:hint="eastAsia" w:ascii="宋体" w:hAnsi="宋体" w:eastAsia="宋体" w:cs="宋体"/>
                <w:color w:val="auto"/>
                <w:highlight w:val="none"/>
              </w:rPr>
            </w:pPr>
            <w:r>
              <w:rPr>
                <w:rFonts w:hint="eastAsia" w:ascii="宋体" w:hAnsi="宋体" w:eastAsia="宋体" w:cs="宋体"/>
                <w:color w:val="auto"/>
                <w:highlight w:val="none"/>
              </w:rPr>
              <w:t>最高限价</w:t>
            </w:r>
          </w:p>
        </w:tc>
        <w:tc>
          <w:tcPr>
            <w:tcW w:w="5051" w:type="dxa"/>
            <w:vAlign w:val="center"/>
          </w:tcPr>
          <w:p w14:paraId="58790BAE">
            <w:pPr>
              <w:jc w:val="left"/>
              <w:rPr>
                <w:rFonts w:hint="eastAsia" w:ascii="宋体" w:hAnsi="宋体" w:eastAsia="宋体" w:cs="宋体"/>
                <w:color w:val="auto"/>
                <w:highlight w:val="none"/>
              </w:rPr>
            </w:pPr>
            <w:r>
              <w:rPr>
                <w:rFonts w:hint="eastAsia" w:ascii="宋体" w:hAnsi="宋体" w:eastAsia="宋体" w:cs="宋体"/>
                <w:color w:val="auto"/>
                <w:highlight w:val="none"/>
              </w:rPr>
              <w:t>最高限价：</w:t>
            </w:r>
            <w:r>
              <w:rPr>
                <w:rFonts w:hint="eastAsia" w:ascii="宋体" w:hAnsi="宋体" w:eastAsia="宋体" w:cs="宋体"/>
                <w:b/>
                <w:bCs/>
                <w:color w:val="auto"/>
                <w:highlight w:val="none"/>
              </w:rPr>
              <w:t>人民币</w:t>
            </w:r>
            <w:r>
              <w:rPr>
                <w:rFonts w:hint="eastAsia" w:ascii="宋体" w:hAnsi="宋体" w:eastAsia="宋体" w:cs="宋体"/>
                <w:b/>
                <w:bCs/>
                <w:color w:val="auto"/>
                <w:highlight w:val="none"/>
                <w:lang w:val="en-US" w:eastAsia="zh-CN"/>
              </w:rPr>
              <w:t>60万元</w:t>
            </w:r>
          </w:p>
        </w:tc>
      </w:tr>
      <w:tr w14:paraId="0CF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6" w:type="dxa"/>
            <w:vAlign w:val="center"/>
          </w:tcPr>
          <w:p w14:paraId="2EEE88DE">
            <w:pPr>
              <w:jc w:val="center"/>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3112" w:type="dxa"/>
            <w:vAlign w:val="center"/>
          </w:tcPr>
          <w:p w14:paraId="0E451D25">
            <w:pPr>
              <w:jc w:val="left"/>
              <w:rPr>
                <w:rFonts w:hint="eastAsia" w:ascii="宋体" w:hAnsi="宋体" w:eastAsia="宋体" w:cs="宋体"/>
                <w:color w:val="auto"/>
                <w:highlight w:val="none"/>
              </w:rPr>
            </w:pPr>
            <w:r>
              <w:rPr>
                <w:rFonts w:hint="eastAsia" w:ascii="宋体" w:hAnsi="宋体" w:eastAsia="宋体" w:cs="宋体"/>
                <w:color w:val="auto"/>
                <w:highlight w:val="none"/>
              </w:rPr>
              <w:t>是否接受联合体</w:t>
            </w:r>
          </w:p>
        </w:tc>
        <w:tc>
          <w:tcPr>
            <w:tcW w:w="5051" w:type="dxa"/>
            <w:vAlign w:val="center"/>
          </w:tcPr>
          <w:p w14:paraId="061C1541">
            <w:pPr>
              <w:jc w:val="left"/>
              <w:rPr>
                <w:rFonts w:hint="eastAsia" w:ascii="宋体" w:hAnsi="宋体" w:eastAsia="宋体" w:cs="宋体"/>
                <w:color w:val="auto"/>
                <w:highlight w:val="none"/>
              </w:rPr>
            </w:pPr>
            <w:r>
              <w:rPr>
                <w:rFonts w:hint="eastAsia" w:ascii="宋体" w:hAnsi="宋体" w:eastAsia="宋体" w:cs="宋体"/>
                <w:color w:val="auto"/>
                <w:highlight w:val="none"/>
              </w:rPr>
              <w:t>☑不接受</w:t>
            </w:r>
          </w:p>
          <w:p w14:paraId="7915F0BE">
            <w:pPr>
              <w:jc w:val="left"/>
              <w:rPr>
                <w:rFonts w:hint="eastAsia" w:ascii="宋体" w:hAnsi="宋体" w:eastAsia="宋体" w:cs="宋体"/>
                <w:color w:val="auto"/>
                <w:highlight w:val="none"/>
              </w:rPr>
            </w:pPr>
            <w:r>
              <w:rPr>
                <w:rFonts w:hint="eastAsia" w:ascii="宋体" w:hAnsi="宋体" w:eastAsia="宋体" w:cs="宋体"/>
                <w:color w:val="auto"/>
                <w:highlight w:val="none"/>
              </w:rPr>
              <w:t>□接受，但满足下列要求：</w:t>
            </w:r>
          </w:p>
        </w:tc>
      </w:tr>
      <w:tr w14:paraId="12A8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6" w:type="dxa"/>
            <w:vAlign w:val="center"/>
          </w:tcPr>
          <w:p w14:paraId="2F119138">
            <w:pPr>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3112" w:type="dxa"/>
            <w:vAlign w:val="center"/>
          </w:tcPr>
          <w:p w14:paraId="0DB3D0A8">
            <w:pPr>
              <w:jc w:val="left"/>
              <w:rPr>
                <w:rFonts w:hint="eastAsia" w:ascii="宋体" w:hAnsi="宋体" w:eastAsia="宋体" w:cs="宋体"/>
                <w:color w:val="auto"/>
                <w:highlight w:val="none"/>
              </w:rPr>
            </w:pPr>
            <w:r>
              <w:rPr>
                <w:rFonts w:hint="eastAsia" w:ascii="宋体" w:hAnsi="宋体" w:eastAsia="宋体" w:cs="宋体"/>
                <w:color w:val="auto"/>
                <w:highlight w:val="none"/>
              </w:rPr>
              <w:t>供应商书面提出截止的时间</w:t>
            </w:r>
          </w:p>
          <w:p w14:paraId="080F9E11">
            <w:pPr>
              <w:pStyle w:val="25"/>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采购人通过网上澄清的时间</w:t>
            </w:r>
          </w:p>
        </w:tc>
        <w:tc>
          <w:tcPr>
            <w:tcW w:w="5051" w:type="dxa"/>
            <w:vAlign w:val="center"/>
          </w:tcPr>
          <w:p w14:paraId="54D43A32">
            <w:pPr>
              <w:jc w:val="left"/>
              <w:rPr>
                <w:rFonts w:hint="eastAsia" w:ascii="宋体" w:hAnsi="宋体" w:eastAsia="宋体" w:cs="宋体"/>
                <w:color w:val="auto"/>
                <w:highlight w:val="none"/>
              </w:rPr>
            </w:pPr>
            <w:r>
              <w:rPr>
                <w:rFonts w:hint="eastAsia" w:ascii="宋体" w:hAnsi="宋体" w:eastAsia="宋体" w:cs="宋体"/>
                <w:color w:val="auto"/>
                <w:highlight w:val="none"/>
              </w:rPr>
              <w:t>提疑：</w:t>
            </w:r>
            <w:r>
              <w:rPr>
                <w:rFonts w:hint="eastAsia" w:ascii="宋体" w:hAnsi="宋体" w:eastAsia="宋体" w:cs="宋体"/>
                <w:color w:val="auto"/>
                <w:highlight w:val="none"/>
                <w:u w:val="single"/>
              </w:rPr>
              <w:t>2025</w:t>
            </w:r>
            <w:r>
              <w:rPr>
                <w:rFonts w:hint="eastAsia" w:ascii="宋体" w:hAnsi="宋体" w:eastAsia="宋体" w:cs="宋体"/>
                <w:color w:val="auto"/>
                <w:highlight w:val="none"/>
              </w:rPr>
              <w:t>年</w:t>
            </w:r>
            <w:r>
              <w:rPr>
                <w:rFonts w:hint="eastAsia" w:ascii="宋体" w:hAnsi="宋体" w:cs="宋体"/>
                <w:color w:val="auto"/>
                <w:highlight w:val="none"/>
                <w:u w:val="single"/>
                <w:lang w:val="en-US" w:eastAsia="zh-CN"/>
              </w:rPr>
              <w:t>10</w:t>
            </w:r>
            <w:r>
              <w:rPr>
                <w:rFonts w:hint="eastAsia" w:ascii="宋体" w:hAnsi="宋体" w:eastAsia="宋体" w:cs="宋体"/>
                <w:color w:val="auto"/>
                <w:highlight w:val="none"/>
              </w:rPr>
              <w:t>月</w:t>
            </w:r>
            <w:r>
              <w:rPr>
                <w:rFonts w:hint="eastAsia" w:ascii="宋体" w:hAnsi="宋体" w:cs="宋体"/>
                <w:color w:val="auto"/>
                <w:highlight w:val="none"/>
                <w:u w:val="single"/>
                <w:lang w:val="en-US" w:eastAsia="zh-CN"/>
              </w:rPr>
              <w:t>17</w:t>
            </w:r>
            <w:r>
              <w:rPr>
                <w:rFonts w:hint="eastAsia" w:ascii="宋体" w:hAnsi="宋体" w:eastAsia="宋体" w:cs="宋体"/>
                <w:color w:val="auto"/>
                <w:highlight w:val="none"/>
              </w:rPr>
              <w:t>日</w:t>
            </w:r>
            <w:r>
              <w:rPr>
                <w:rFonts w:hint="eastAsia" w:ascii="宋体" w:hAnsi="宋体" w:eastAsia="宋体" w:cs="宋体"/>
                <w:color w:val="auto"/>
                <w:highlight w:val="none"/>
                <w:u w:val="single"/>
              </w:rPr>
              <w:t>11</w:t>
            </w:r>
            <w:r>
              <w:rPr>
                <w:rFonts w:hint="eastAsia" w:ascii="宋体" w:hAnsi="宋体" w:eastAsia="宋体" w:cs="宋体"/>
                <w:color w:val="auto"/>
                <w:highlight w:val="none"/>
              </w:rPr>
              <w:t>时（北京时间）</w:t>
            </w:r>
          </w:p>
          <w:p w14:paraId="296E7C0A">
            <w:pPr>
              <w:jc w:val="left"/>
              <w:rPr>
                <w:rFonts w:hint="eastAsia" w:ascii="宋体" w:hAnsi="宋体" w:eastAsia="宋体" w:cs="宋体"/>
                <w:color w:val="auto"/>
                <w:highlight w:val="none"/>
              </w:rPr>
            </w:pPr>
            <w:r>
              <w:rPr>
                <w:rFonts w:hint="eastAsia" w:ascii="宋体" w:hAnsi="宋体" w:eastAsia="宋体" w:cs="宋体"/>
                <w:color w:val="auto"/>
                <w:highlight w:val="none"/>
              </w:rPr>
              <w:t>答疑：</w:t>
            </w:r>
            <w:r>
              <w:rPr>
                <w:rFonts w:hint="eastAsia" w:ascii="宋体" w:hAnsi="宋体" w:eastAsia="宋体" w:cs="宋体"/>
                <w:color w:val="auto"/>
                <w:highlight w:val="none"/>
                <w:u w:val="single"/>
              </w:rPr>
              <w:t>2025</w:t>
            </w:r>
            <w:r>
              <w:rPr>
                <w:rFonts w:hint="eastAsia" w:ascii="宋体" w:hAnsi="宋体" w:eastAsia="宋体" w:cs="宋体"/>
                <w:color w:val="auto"/>
                <w:highlight w:val="none"/>
              </w:rPr>
              <w:t>年</w:t>
            </w:r>
            <w:r>
              <w:rPr>
                <w:rFonts w:hint="eastAsia" w:ascii="宋体" w:hAnsi="宋体" w:cs="宋体"/>
                <w:color w:val="auto"/>
                <w:highlight w:val="none"/>
                <w:u w:val="single"/>
                <w:lang w:val="en-US" w:eastAsia="zh-CN"/>
              </w:rPr>
              <w:t>10</w:t>
            </w:r>
            <w:r>
              <w:rPr>
                <w:rFonts w:hint="eastAsia" w:ascii="宋体" w:hAnsi="宋体" w:eastAsia="宋体" w:cs="宋体"/>
                <w:color w:val="auto"/>
                <w:highlight w:val="none"/>
              </w:rPr>
              <w:t>月</w:t>
            </w:r>
            <w:r>
              <w:rPr>
                <w:rFonts w:hint="eastAsia" w:ascii="宋体" w:hAnsi="宋体" w:cs="宋体"/>
                <w:color w:val="auto"/>
                <w:highlight w:val="none"/>
                <w:u w:val="single"/>
                <w:lang w:val="en-US" w:eastAsia="zh-CN"/>
              </w:rPr>
              <w:t>17</w:t>
            </w:r>
            <w:r>
              <w:rPr>
                <w:rFonts w:hint="eastAsia" w:ascii="宋体" w:hAnsi="宋体" w:eastAsia="宋体" w:cs="宋体"/>
                <w:color w:val="auto"/>
                <w:highlight w:val="none"/>
              </w:rPr>
              <w:t>日</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时（北京时间）</w:t>
            </w:r>
          </w:p>
        </w:tc>
      </w:tr>
      <w:tr w14:paraId="3CF4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56" w:type="dxa"/>
            <w:vAlign w:val="center"/>
          </w:tcPr>
          <w:p w14:paraId="6F61FD5E">
            <w:pPr>
              <w:jc w:val="center"/>
              <w:rPr>
                <w:rFonts w:hint="eastAsia" w:ascii="宋体" w:hAnsi="宋体" w:eastAsia="宋体" w:cs="宋体"/>
                <w:color w:val="auto"/>
                <w:highlight w:val="none"/>
              </w:rPr>
            </w:pPr>
            <w:r>
              <w:rPr>
                <w:rFonts w:hint="eastAsia" w:ascii="宋体" w:hAnsi="宋体" w:eastAsia="宋体" w:cs="宋体"/>
                <w:color w:val="auto"/>
                <w:highlight w:val="none"/>
              </w:rPr>
              <w:t>2.2</w:t>
            </w:r>
          </w:p>
        </w:tc>
        <w:tc>
          <w:tcPr>
            <w:tcW w:w="3112" w:type="dxa"/>
            <w:vAlign w:val="center"/>
          </w:tcPr>
          <w:p w14:paraId="3FB6D361">
            <w:pPr>
              <w:jc w:val="left"/>
              <w:rPr>
                <w:rFonts w:hint="eastAsia" w:ascii="宋体" w:hAnsi="宋体" w:eastAsia="宋体" w:cs="宋体"/>
                <w:color w:val="auto"/>
                <w:highlight w:val="none"/>
              </w:rPr>
            </w:pPr>
            <w:r>
              <w:rPr>
                <w:rFonts w:hint="eastAsia" w:ascii="宋体" w:hAnsi="宋体" w:eastAsia="宋体" w:cs="宋体"/>
                <w:color w:val="auto"/>
                <w:highlight w:val="none"/>
              </w:rPr>
              <w:t>质量要求</w:t>
            </w:r>
          </w:p>
        </w:tc>
        <w:tc>
          <w:tcPr>
            <w:tcW w:w="5051" w:type="dxa"/>
            <w:vAlign w:val="center"/>
          </w:tcPr>
          <w:p w14:paraId="38D23996">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合格，并通过相关部门审查批准</w:t>
            </w:r>
            <w:r>
              <w:rPr>
                <w:rFonts w:hint="eastAsia" w:ascii="宋体" w:hAnsi="宋体" w:eastAsia="宋体" w:cs="宋体"/>
                <w:color w:val="auto"/>
                <w:highlight w:val="none"/>
              </w:rPr>
              <w:t>。</w:t>
            </w:r>
          </w:p>
        </w:tc>
      </w:tr>
      <w:tr w14:paraId="6E46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6" w:type="dxa"/>
            <w:vAlign w:val="center"/>
          </w:tcPr>
          <w:p w14:paraId="4EEE38D7">
            <w:pPr>
              <w:jc w:val="center"/>
              <w:rPr>
                <w:rFonts w:hint="eastAsia" w:ascii="宋体" w:hAnsi="宋体" w:eastAsia="宋体" w:cs="宋体"/>
                <w:color w:val="auto"/>
                <w:highlight w:val="none"/>
              </w:rPr>
            </w:pPr>
            <w:r>
              <w:rPr>
                <w:rFonts w:hint="eastAsia" w:ascii="宋体" w:hAnsi="宋体" w:eastAsia="宋体" w:cs="宋体"/>
                <w:color w:val="auto"/>
                <w:highlight w:val="none"/>
              </w:rPr>
              <w:t>2.3</w:t>
            </w:r>
          </w:p>
        </w:tc>
        <w:tc>
          <w:tcPr>
            <w:tcW w:w="3112" w:type="dxa"/>
            <w:vAlign w:val="center"/>
          </w:tcPr>
          <w:p w14:paraId="1FF7D1CF">
            <w:pPr>
              <w:jc w:val="left"/>
              <w:rPr>
                <w:rFonts w:hint="eastAsia" w:ascii="宋体" w:hAnsi="宋体" w:eastAsia="宋体" w:cs="宋体"/>
                <w:color w:val="auto"/>
                <w:highlight w:val="none"/>
              </w:rPr>
            </w:pPr>
            <w:r>
              <w:rPr>
                <w:rFonts w:hint="eastAsia" w:ascii="宋体" w:hAnsi="宋体" w:eastAsia="宋体" w:cs="宋体"/>
                <w:color w:val="auto"/>
                <w:highlight w:val="none"/>
              </w:rPr>
              <w:t>履行期限和地点</w:t>
            </w:r>
          </w:p>
        </w:tc>
        <w:tc>
          <w:tcPr>
            <w:tcW w:w="5051" w:type="dxa"/>
            <w:vAlign w:val="center"/>
          </w:tcPr>
          <w:p w14:paraId="7A406034">
            <w:pPr>
              <w:jc w:val="left"/>
              <w:rPr>
                <w:rFonts w:hint="eastAsia" w:ascii="宋体" w:hAnsi="宋体" w:eastAsia="宋体" w:cs="宋体"/>
                <w:color w:val="auto"/>
                <w:highlight w:val="none"/>
              </w:rPr>
            </w:pPr>
            <w:r>
              <w:rPr>
                <w:rFonts w:hint="eastAsia" w:ascii="宋体" w:hAnsi="宋体" w:eastAsia="宋体" w:cs="宋体"/>
                <w:color w:val="auto"/>
                <w:highlight w:val="none"/>
              </w:rPr>
              <w:t>履行期限：详见公告</w:t>
            </w:r>
          </w:p>
          <w:p w14:paraId="33E10177">
            <w:pPr>
              <w:jc w:val="left"/>
              <w:rPr>
                <w:rFonts w:hint="eastAsia" w:ascii="宋体" w:hAnsi="宋体" w:eastAsia="宋体" w:cs="宋体"/>
                <w:color w:val="auto"/>
                <w:highlight w:val="none"/>
              </w:rPr>
            </w:pPr>
            <w:r>
              <w:rPr>
                <w:rFonts w:hint="eastAsia" w:ascii="宋体" w:hAnsi="宋体" w:eastAsia="宋体" w:cs="宋体"/>
                <w:color w:val="auto"/>
                <w:highlight w:val="none"/>
              </w:rPr>
              <w:t>履行地点：东台市</w:t>
            </w:r>
          </w:p>
        </w:tc>
      </w:tr>
      <w:tr w14:paraId="1127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6" w:type="dxa"/>
            <w:vAlign w:val="center"/>
          </w:tcPr>
          <w:p w14:paraId="64F0F681">
            <w:pPr>
              <w:jc w:val="center"/>
              <w:rPr>
                <w:rFonts w:hint="eastAsia" w:ascii="宋体" w:hAnsi="宋体" w:eastAsia="宋体" w:cs="宋体"/>
                <w:color w:val="auto"/>
                <w:highlight w:val="none"/>
              </w:rPr>
            </w:pPr>
            <w:r>
              <w:rPr>
                <w:rFonts w:hint="eastAsia" w:ascii="宋体" w:hAnsi="宋体" w:eastAsia="宋体" w:cs="宋体"/>
                <w:color w:val="auto"/>
                <w:highlight w:val="none"/>
              </w:rPr>
              <w:t>2.4.1</w:t>
            </w:r>
          </w:p>
        </w:tc>
        <w:tc>
          <w:tcPr>
            <w:tcW w:w="3112" w:type="dxa"/>
            <w:vAlign w:val="center"/>
          </w:tcPr>
          <w:p w14:paraId="7391D841">
            <w:pPr>
              <w:jc w:val="left"/>
              <w:rPr>
                <w:rFonts w:hint="eastAsia" w:ascii="宋体" w:hAnsi="宋体" w:eastAsia="宋体" w:cs="宋体"/>
                <w:color w:val="auto"/>
                <w:highlight w:val="none"/>
              </w:rPr>
            </w:pPr>
            <w:r>
              <w:rPr>
                <w:rFonts w:hint="eastAsia" w:ascii="宋体" w:hAnsi="宋体" w:eastAsia="宋体" w:cs="宋体"/>
                <w:color w:val="auto"/>
                <w:highlight w:val="none"/>
              </w:rPr>
              <w:t>质量保证期</w:t>
            </w:r>
          </w:p>
        </w:tc>
        <w:tc>
          <w:tcPr>
            <w:tcW w:w="5051" w:type="dxa"/>
            <w:vAlign w:val="center"/>
          </w:tcPr>
          <w:p w14:paraId="5CC8D326">
            <w:pPr>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p>
        </w:tc>
      </w:tr>
      <w:tr w14:paraId="1F4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6" w:type="dxa"/>
            <w:vAlign w:val="center"/>
          </w:tcPr>
          <w:p w14:paraId="11B1ADCA">
            <w:pPr>
              <w:jc w:val="center"/>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3112" w:type="dxa"/>
            <w:vAlign w:val="center"/>
          </w:tcPr>
          <w:p w14:paraId="4D30BA9B">
            <w:pPr>
              <w:jc w:val="left"/>
              <w:rPr>
                <w:rFonts w:hint="eastAsia" w:ascii="宋体" w:hAnsi="宋体" w:eastAsia="宋体" w:cs="宋体"/>
                <w:color w:val="auto"/>
                <w:highlight w:val="none"/>
              </w:rPr>
            </w:pPr>
            <w:r>
              <w:rPr>
                <w:rFonts w:hint="eastAsia" w:ascii="宋体" w:hAnsi="宋体" w:eastAsia="宋体" w:cs="宋体"/>
                <w:color w:val="auto"/>
                <w:highlight w:val="none"/>
              </w:rPr>
              <w:t>代理费用的收费标准</w:t>
            </w:r>
          </w:p>
        </w:tc>
        <w:tc>
          <w:tcPr>
            <w:tcW w:w="5051" w:type="dxa"/>
            <w:vAlign w:val="center"/>
          </w:tcPr>
          <w:p w14:paraId="52115A11">
            <w:pPr>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人民币3000元</w:t>
            </w:r>
          </w:p>
        </w:tc>
      </w:tr>
      <w:tr w14:paraId="454A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6" w:type="dxa"/>
            <w:vAlign w:val="center"/>
          </w:tcPr>
          <w:p w14:paraId="599D0B88">
            <w:pPr>
              <w:jc w:val="center"/>
              <w:rPr>
                <w:rFonts w:hint="eastAsia" w:ascii="宋体" w:hAnsi="宋体" w:eastAsia="宋体" w:cs="宋体"/>
                <w:color w:val="auto"/>
                <w:highlight w:val="none"/>
              </w:rPr>
            </w:pPr>
            <w:r>
              <w:rPr>
                <w:rFonts w:hint="eastAsia" w:ascii="宋体" w:hAnsi="宋体" w:eastAsia="宋体" w:cs="宋体"/>
                <w:color w:val="auto"/>
                <w:highlight w:val="none"/>
              </w:rPr>
              <w:t>3.3.2</w:t>
            </w:r>
          </w:p>
        </w:tc>
        <w:tc>
          <w:tcPr>
            <w:tcW w:w="3112" w:type="dxa"/>
            <w:vAlign w:val="center"/>
          </w:tcPr>
          <w:p w14:paraId="3C58030D">
            <w:pPr>
              <w:jc w:val="left"/>
              <w:rPr>
                <w:rFonts w:hint="eastAsia" w:ascii="宋体" w:hAnsi="宋体" w:eastAsia="宋体" w:cs="宋体"/>
                <w:color w:val="auto"/>
                <w:highlight w:val="none"/>
              </w:rPr>
            </w:pPr>
            <w:r>
              <w:rPr>
                <w:rFonts w:hint="eastAsia" w:ascii="宋体" w:hAnsi="宋体" w:eastAsia="宋体" w:cs="宋体"/>
                <w:color w:val="auto"/>
                <w:highlight w:val="none"/>
              </w:rPr>
              <w:t>代理费用的收取方式</w:t>
            </w:r>
          </w:p>
        </w:tc>
        <w:tc>
          <w:tcPr>
            <w:tcW w:w="5051" w:type="dxa"/>
            <w:vAlign w:val="center"/>
          </w:tcPr>
          <w:p w14:paraId="29E25C67">
            <w:pPr>
              <w:jc w:val="left"/>
              <w:rPr>
                <w:rFonts w:hint="eastAsia" w:ascii="宋体" w:hAnsi="宋体" w:eastAsia="宋体" w:cs="宋体"/>
                <w:color w:val="auto"/>
                <w:highlight w:val="none"/>
                <w:u w:val="single"/>
              </w:rPr>
            </w:pPr>
            <w:r>
              <w:rPr>
                <w:rFonts w:hint="eastAsia" w:ascii="宋体" w:hAnsi="宋体" w:eastAsia="宋体" w:cs="宋体"/>
                <w:color w:val="auto"/>
                <w:highlight w:val="none"/>
              </w:rPr>
              <w:t>中标人支付</w:t>
            </w:r>
          </w:p>
        </w:tc>
      </w:tr>
      <w:tr w14:paraId="20FC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6" w:type="dxa"/>
            <w:vAlign w:val="center"/>
          </w:tcPr>
          <w:p w14:paraId="511AE849">
            <w:pPr>
              <w:jc w:val="center"/>
              <w:rPr>
                <w:rFonts w:hint="eastAsia" w:ascii="宋体" w:hAnsi="宋体" w:eastAsia="宋体" w:cs="宋体"/>
                <w:color w:val="auto"/>
                <w:highlight w:val="none"/>
              </w:rPr>
            </w:pPr>
            <w:r>
              <w:rPr>
                <w:rFonts w:hint="eastAsia" w:ascii="宋体" w:hAnsi="宋体" w:eastAsia="宋体" w:cs="宋体"/>
                <w:color w:val="auto"/>
                <w:highlight w:val="none"/>
              </w:rPr>
              <w:t>3.4.1</w:t>
            </w:r>
          </w:p>
        </w:tc>
        <w:tc>
          <w:tcPr>
            <w:tcW w:w="3112" w:type="dxa"/>
            <w:vAlign w:val="center"/>
          </w:tcPr>
          <w:p w14:paraId="21A708E6">
            <w:pPr>
              <w:jc w:val="left"/>
              <w:rPr>
                <w:rFonts w:hint="eastAsia" w:ascii="宋体" w:hAnsi="宋体" w:eastAsia="宋体" w:cs="宋体"/>
                <w:color w:val="auto"/>
                <w:highlight w:val="none"/>
              </w:rPr>
            </w:pPr>
            <w:r>
              <w:rPr>
                <w:rFonts w:hint="eastAsia" w:ascii="宋体" w:hAnsi="宋体" w:eastAsia="宋体" w:cs="宋体"/>
                <w:color w:val="auto"/>
                <w:highlight w:val="none"/>
              </w:rPr>
              <w:t>磋商保证金</w:t>
            </w:r>
          </w:p>
        </w:tc>
        <w:tc>
          <w:tcPr>
            <w:tcW w:w="5051" w:type="dxa"/>
            <w:vAlign w:val="center"/>
          </w:tcPr>
          <w:p w14:paraId="728863C3">
            <w:pPr>
              <w:pStyle w:val="25"/>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u w:val="single"/>
              </w:rPr>
              <w:t>免收</w:t>
            </w:r>
          </w:p>
        </w:tc>
      </w:tr>
      <w:tr w14:paraId="404E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6" w:type="dxa"/>
            <w:vAlign w:val="center"/>
          </w:tcPr>
          <w:p w14:paraId="7CE6A512">
            <w:p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3.8.1 </w:t>
            </w:r>
          </w:p>
        </w:tc>
        <w:tc>
          <w:tcPr>
            <w:tcW w:w="3112" w:type="dxa"/>
            <w:vAlign w:val="center"/>
          </w:tcPr>
          <w:p w14:paraId="6ACF627F">
            <w:pPr>
              <w:jc w:val="left"/>
              <w:rPr>
                <w:rFonts w:hint="eastAsia" w:ascii="宋体" w:hAnsi="宋体" w:eastAsia="宋体" w:cs="宋体"/>
                <w:color w:val="auto"/>
                <w:highlight w:val="none"/>
              </w:rPr>
            </w:pPr>
            <w:r>
              <w:rPr>
                <w:rFonts w:hint="eastAsia" w:ascii="宋体" w:hAnsi="宋体" w:eastAsia="宋体" w:cs="宋体"/>
                <w:color w:val="auto"/>
                <w:highlight w:val="none"/>
              </w:rPr>
              <w:t>响应文件提交的截止时间</w:t>
            </w:r>
          </w:p>
        </w:tc>
        <w:tc>
          <w:tcPr>
            <w:tcW w:w="5051" w:type="dxa"/>
            <w:vAlign w:val="center"/>
          </w:tcPr>
          <w:p w14:paraId="565041A4">
            <w:pPr>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2025</w:t>
            </w:r>
            <w:r>
              <w:rPr>
                <w:rFonts w:hint="eastAsia" w:ascii="宋体" w:hAnsi="宋体" w:eastAsia="宋体" w:cs="宋体"/>
                <w:color w:val="auto"/>
                <w:highlight w:val="none"/>
              </w:rPr>
              <w:t>年</w:t>
            </w:r>
            <w:r>
              <w:rPr>
                <w:rFonts w:hint="eastAsia" w:ascii="宋体" w:hAnsi="宋体" w:cs="宋体"/>
                <w:color w:val="auto"/>
                <w:highlight w:val="none"/>
                <w:u w:val="single"/>
                <w:lang w:val="en-US" w:eastAsia="zh-CN"/>
              </w:rPr>
              <w:t>10</w:t>
            </w:r>
            <w:r>
              <w:rPr>
                <w:rFonts w:hint="eastAsia" w:ascii="宋体" w:hAnsi="宋体" w:eastAsia="宋体" w:cs="宋体"/>
                <w:color w:val="auto"/>
                <w:highlight w:val="none"/>
              </w:rPr>
              <w:t>月</w:t>
            </w:r>
            <w:r>
              <w:rPr>
                <w:rFonts w:hint="eastAsia" w:ascii="宋体" w:hAnsi="宋体" w:cs="宋体"/>
                <w:color w:val="auto"/>
                <w:highlight w:val="none"/>
                <w:u w:val="single"/>
                <w:lang w:val="en-US" w:eastAsia="zh-CN"/>
              </w:rPr>
              <w:t>22</w:t>
            </w:r>
            <w:r>
              <w:rPr>
                <w:rFonts w:hint="eastAsia" w:ascii="宋体" w:hAnsi="宋体" w:eastAsia="宋体" w:cs="宋体"/>
                <w:color w:val="auto"/>
                <w:highlight w:val="none"/>
              </w:rPr>
              <w:t>日</w:t>
            </w:r>
            <w:r>
              <w:rPr>
                <w:rFonts w:hint="eastAsia" w:ascii="宋体" w:hAnsi="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分（北京时间）</w:t>
            </w:r>
          </w:p>
        </w:tc>
      </w:tr>
      <w:tr w14:paraId="3443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6" w:type="dxa"/>
            <w:vAlign w:val="center"/>
          </w:tcPr>
          <w:p w14:paraId="083C27CB">
            <w:pPr>
              <w:jc w:val="center"/>
              <w:rPr>
                <w:rFonts w:hint="eastAsia" w:ascii="宋体" w:hAnsi="宋体" w:eastAsia="宋体" w:cs="宋体"/>
                <w:color w:val="auto"/>
                <w:highlight w:val="none"/>
              </w:rPr>
            </w:pPr>
            <w:r>
              <w:rPr>
                <w:rFonts w:hint="eastAsia" w:ascii="宋体" w:hAnsi="宋体" w:eastAsia="宋体" w:cs="宋体"/>
                <w:color w:val="auto"/>
                <w:highlight w:val="none"/>
              </w:rPr>
              <w:t>4.1.1</w:t>
            </w:r>
          </w:p>
        </w:tc>
        <w:tc>
          <w:tcPr>
            <w:tcW w:w="3112" w:type="dxa"/>
            <w:vAlign w:val="center"/>
          </w:tcPr>
          <w:p w14:paraId="74D7BF09">
            <w:pPr>
              <w:jc w:val="left"/>
              <w:rPr>
                <w:rFonts w:hint="eastAsia" w:ascii="宋体" w:hAnsi="宋体" w:eastAsia="宋体" w:cs="宋体"/>
                <w:color w:val="auto"/>
                <w:highlight w:val="none"/>
              </w:rPr>
            </w:pPr>
            <w:r>
              <w:rPr>
                <w:rFonts w:hint="eastAsia" w:ascii="宋体" w:hAnsi="宋体" w:eastAsia="宋体" w:cs="宋体"/>
                <w:color w:val="auto"/>
                <w:highlight w:val="none"/>
              </w:rPr>
              <w:t>开启时间</w:t>
            </w:r>
          </w:p>
        </w:tc>
        <w:tc>
          <w:tcPr>
            <w:tcW w:w="5051" w:type="dxa"/>
            <w:vAlign w:val="center"/>
          </w:tcPr>
          <w:p w14:paraId="3E09FA74">
            <w:pPr>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2025</w:t>
            </w:r>
            <w:r>
              <w:rPr>
                <w:rFonts w:hint="eastAsia" w:ascii="宋体" w:hAnsi="宋体" w:eastAsia="宋体" w:cs="宋体"/>
                <w:color w:val="auto"/>
                <w:highlight w:val="none"/>
              </w:rPr>
              <w:t>年</w:t>
            </w:r>
            <w:r>
              <w:rPr>
                <w:rFonts w:hint="eastAsia" w:ascii="宋体" w:hAnsi="宋体" w:cs="宋体"/>
                <w:color w:val="auto"/>
                <w:highlight w:val="none"/>
                <w:u w:val="single"/>
                <w:lang w:val="en-US" w:eastAsia="zh-CN"/>
              </w:rPr>
              <w:t>10</w:t>
            </w:r>
            <w:r>
              <w:rPr>
                <w:rFonts w:hint="eastAsia" w:ascii="宋体" w:hAnsi="宋体" w:eastAsia="宋体" w:cs="宋体"/>
                <w:color w:val="auto"/>
                <w:highlight w:val="none"/>
              </w:rPr>
              <w:t>月</w:t>
            </w:r>
            <w:r>
              <w:rPr>
                <w:rFonts w:hint="eastAsia" w:ascii="宋体" w:hAnsi="宋体" w:cs="宋体"/>
                <w:color w:val="auto"/>
                <w:highlight w:val="none"/>
                <w:u w:val="single"/>
                <w:lang w:val="en-US" w:eastAsia="zh-CN"/>
              </w:rPr>
              <w:t>22</w:t>
            </w:r>
            <w:r>
              <w:rPr>
                <w:rFonts w:hint="eastAsia" w:ascii="宋体" w:hAnsi="宋体" w:eastAsia="宋体" w:cs="宋体"/>
                <w:color w:val="auto"/>
                <w:highlight w:val="none"/>
              </w:rPr>
              <w:t>日</w:t>
            </w:r>
            <w:r>
              <w:rPr>
                <w:rFonts w:hint="eastAsia" w:ascii="宋体" w:hAnsi="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分（北京时间）</w:t>
            </w:r>
          </w:p>
        </w:tc>
      </w:tr>
      <w:tr w14:paraId="2B53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56" w:type="dxa"/>
            <w:vAlign w:val="center"/>
          </w:tcPr>
          <w:p w14:paraId="210252D3">
            <w:pPr>
              <w:jc w:val="center"/>
              <w:rPr>
                <w:rFonts w:hint="eastAsia" w:ascii="宋体" w:hAnsi="宋体" w:eastAsia="宋体" w:cs="宋体"/>
                <w:color w:val="auto"/>
                <w:highlight w:val="none"/>
              </w:rPr>
            </w:pPr>
            <w:r>
              <w:rPr>
                <w:rFonts w:hint="eastAsia" w:ascii="宋体" w:hAnsi="宋体" w:eastAsia="宋体" w:cs="宋体"/>
                <w:color w:val="auto"/>
                <w:highlight w:val="none"/>
              </w:rPr>
              <w:t>4.2.1</w:t>
            </w:r>
          </w:p>
        </w:tc>
        <w:tc>
          <w:tcPr>
            <w:tcW w:w="3112" w:type="dxa"/>
            <w:vAlign w:val="center"/>
          </w:tcPr>
          <w:p w14:paraId="0EAD0A5B">
            <w:pPr>
              <w:jc w:val="left"/>
              <w:rPr>
                <w:rFonts w:hint="eastAsia" w:ascii="宋体" w:hAnsi="宋体" w:eastAsia="宋体" w:cs="宋体"/>
                <w:color w:val="auto"/>
                <w:highlight w:val="none"/>
              </w:rPr>
            </w:pPr>
            <w:r>
              <w:rPr>
                <w:rFonts w:hint="eastAsia" w:ascii="宋体" w:hAnsi="宋体" w:eastAsia="宋体" w:cs="宋体"/>
                <w:color w:val="auto"/>
                <w:highlight w:val="none"/>
              </w:rPr>
              <w:t>磋商小组的组建</w:t>
            </w:r>
          </w:p>
        </w:tc>
        <w:tc>
          <w:tcPr>
            <w:tcW w:w="5051" w:type="dxa"/>
            <w:vAlign w:val="center"/>
          </w:tcPr>
          <w:p w14:paraId="1C28CEAC">
            <w:pPr>
              <w:jc w:val="left"/>
              <w:rPr>
                <w:rFonts w:hint="eastAsia" w:ascii="宋体" w:hAnsi="宋体" w:eastAsia="宋体" w:cs="宋体"/>
                <w:color w:val="auto"/>
                <w:highlight w:val="none"/>
              </w:rPr>
            </w:pPr>
            <w:r>
              <w:rPr>
                <w:rFonts w:hint="eastAsia" w:ascii="宋体" w:hAnsi="宋体" w:eastAsia="宋体" w:cs="宋体"/>
                <w:color w:val="auto"/>
                <w:highlight w:val="none"/>
              </w:rPr>
              <w:t>磋商小组构成：</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u w:val="single"/>
              </w:rPr>
              <w:t>3</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w:t>
            </w:r>
          </w:p>
          <w:p w14:paraId="146F5D65">
            <w:pPr>
              <w:pStyle w:val="2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其中采购人代表：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w:t>
            </w:r>
          </w:p>
          <w:p w14:paraId="0B3E7ECA">
            <w:pPr>
              <w:pStyle w:val="2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w:t>
            </w:r>
          </w:p>
        </w:tc>
      </w:tr>
      <w:tr w14:paraId="3FBF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6" w:type="dxa"/>
            <w:vAlign w:val="center"/>
          </w:tcPr>
          <w:p w14:paraId="3693F538">
            <w:pPr>
              <w:jc w:val="center"/>
              <w:rPr>
                <w:rFonts w:hint="eastAsia" w:ascii="宋体" w:hAnsi="宋体" w:eastAsia="宋体" w:cs="宋体"/>
                <w:color w:val="auto"/>
                <w:highlight w:val="none"/>
              </w:rPr>
            </w:pPr>
            <w:r>
              <w:rPr>
                <w:rFonts w:hint="eastAsia" w:ascii="宋体" w:hAnsi="宋体" w:eastAsia="宋体" w:cs="宋体"/>
                <w:color w:val="auto"/>
                <w:highlight w:val="none"/>
              </w:rPr>
              <w:t>5.6.1</w:t>
            </w:r>
          </w:p>
        </w:tc>
        <w:tc>
          <w:tcPr>
            <w:tcW w:w="3112" w:type="dxa"/>
            <w:vAlign w:val="center"/>
          </w:tcPr>
          <w:p w14:paraId="7E7F027A">
            <w:pPr>
              <w:jc w:val="left"/>
              <w:rPr>
                <w:rFonts w:hint="eastAsia" w:ascii="宋体" w:hAnsi="宋体" w:eastAsia="宋体" w:cs="宋体"/>
                <w:color w:val="auto"/>
                <w:highlight w:val="none"/>
              </w:rPr>
            </w:pPr>
            <w:r>
              <w:rPr>
                <w:rFonts w:hint="eastAsia" w:ascii="宋体" w:hAnsi="宋体" w:eastAsia="宋体" w:cs="宋体"/>
                <w:color w:val="auto"/>
                <w:highlight w:val="none"/>
              </w:rPr>
              <w:t>评审成交办法</w:t>
            </w:r>
          </w:p>
        </w:tc>
        <w:tc>
          <w:tcPr>
            <w:tcW w:w="5051" w:type="dxa"/>
            <w:vAlign w:val="center"/>
          </w:tcPr>
          <w:p w14:paraId="0E33F9DE">
            <w:pPr>
              <w:jc w:val="left"/>
              <w:rPr>
                <w:rFonts w:hint="eastAsia" w:ascii="宋体" w:hAnsi="宋体" w:eastAsia="宋体" w:cs="宋体"/>
                <w:color w:val="auto"/>
                <w:highlight w:val="none"/>
              </w:rPr>
            </w:pPr>
            <w:r>
              <w:rPr>
                <w:rFonts w:hint="eastAsia" w:ascii="宋体" w:hAnsi="宋体" w:eastAsia="宋体" w:cs="宋体"/>
                <w:color w:val="auto"/>
                <w:highlight w:val="none"/>
              </w:rPr>
              <w:t>综合评分法</w:t>
            </w:r>
          </w:p>
        </w:tc>
      </w:tr>
      <w:tr w14:paraId="0144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56" w:type="dxa"/>
            <w:vAlign w:val="center"/>
          </w:tcPr>
          <w:p w14:paraId="326E1C0B">
            <w:pPr>
              <w:jc w:val="center"/>
              <w:rPr>
                <w:rFonts w:hint="eastAsia" w:ascii="宋体" w:hAnsi="宋体" w:eastAsia="宋体" w:cs="宋体"/>
                <w:color w:val="auto"/>
                <w:highlight w:val="none"/>
              </w:rPr>
            </w:pPr>
            <w:r>
              <w:rPr>
                <w:rFonts w:hint="eastAsia" w:ascii="宋体" w:hAnsi="宋体" w:eastAsia="宋体" w:cs="宋体"/>
                <w:color w:val="auto"/>
                <w:highlight w:val="none"/>
              </w:rPr>
              <w:t>5.7.1</w:t>
            </w:r>
          </w:p>
        </w:tc>
        <w:tc>
          <w:tcPr>
            <w:tcW w:w="3112" w:type="dxa"/>
            <w:vAlign w:val="center"/>
          </w:tcPr>
          <w:p w14:paraId="38947F6E">
            <w:pPr>
              <w:jc w:val="left"/>
              <w:rPr>
                <w:rFonts w:hint="eastAsia" w:ascii="宋体" w:hAnsi="宋体" w:eastAsia="宋体" w:cs="宋体"/>
                <w:color w:val="auto"/>
                <w:highlight w:val="none"/>
              </w:rPr>
            </w:pPr>
            <w:r>
              <w:rPr>
                <w:rFonts w:hint="eastAsia" w:ascii="宋体" w:hAnsi="宋体" w:eastAsia="宋体" w:cs="宋体"/>
                <w:color w:val="auto"/>
                <w:highlight w:val="none"/>
              </w:rPr>
              <w:t>质疑受理部门</w:t>
            </w:r>
          </w:p>
        </w:tc>
        <w:tc>
          <w:tcPr>
            <w:tcW w:w="5051" w:type="dxa"/>
            <w:vAlign w:val="center"/>
          </w:tcPr>
          <w:p w14:paraId="7906915A">
            <w:pPr>
              <w:jc w:val="left"/>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联系部门：</w:t>
            </w:r>
            <w:r>
              <w:rPr>
                <w:rFonts w:hint="eastAsia" w:ascii="宋体" w:hAnsi="宋体" w:eastAsia="宋体" w:cs="宋体"/>
                <w:color w:val="auto"/>
                <w:szCs w:val="22"/>
                <w:highlight w:val="none"/>
                <w:lang w:eastAsia="zh-CN"/>
              </w:rPr>
              <w:t>东台市现代农业投资发展有限公司</w:t>
            </w:r>
          </w:p>
          <w:p w14:paraId="1DCA2CAF">
            <w:pPr>
              <w:jc w:val="left"/>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联系电话：</w:t>
            </w:r>
            <w:r>
              <w:rPr>
                <w:rFonts w:hint="eastAsia" w:ascii="宋体" w:hAnsi="宋体" w:eastAsia="宋体" w:cs="宋体"/>
                <w:color w:val="auto"/>
                <w:highlight w:val="none"/>
                <w:lang w:eastAsia="zh-CN"/>
              </w:rPr>
              <w:t>18861960689</w:t>
            </w:r>
          </w:p>
          <w:p w14:paraId="383BE542">
            <w:pPr>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通讯地址：东台市广</w:t>
            </w:r>
            <w:r>
              <w:rPr>
                <w:rFonts w:hint="eastAsia" w:ascii="宋体" w:hAnsi="宋体" w:eastAsia="宋体" w:cs="宋体"/>
                <w:color w:val="auto"/>
                <w:highlight w:val="none"/>
              </w:rPr>
              <w:t>场路6号</w:t>
            </w:r>
          </w:p>
        </w:tc>
      </w:tr>
    </w:tbl>
    <w:p w14:paraId="2E0766B8">
      <w:pPr>
        <w:spacing w:line="340" w:lineRule="exact"/>
        <w:ind w:firstLine="480" w:firstLineChars="200"/>
        <w:rPr>
          <w:rFonts w:hint="eastAsia" w:ascii="宋体" w:hAnsi="宋体" w:eastAsia="宋体" w:cs="宋体"/>
          <w:color w:val="auto"/>
          <w:sz w:val="24"/>
          <w:szCs w:val="24"/>
          <w:highlight w:val="none"/>
        </w:rPr>
      </w:pPr>
    </w:p>
    <w:p w14:paraId="1313987F">
      <w:pPr>
        <w:spacing w:line="340" w:lineRule="exact"/>
        <w:ind w:firstLine="480" w:firstLineChars="200"/>
        <w:rPr>
          <w:rFonts w:hint="eastAsia" w:ascii="宋体" w:hAnsi="宋体" w:eastAsia="宋体" w:cs="宋体"/>
          <w:color w:val="auto"/>
          <w:sz w:val="24"/>
          <w:szCs w:val="24"/>
          <w:highlight w:val="none"/>
        </w:rPr>
      </w:pPr>
    </w:p>
    <w:p w14:paraId="3229D5CD">
      <w:pPr>
        <w:spacing w:line="340" w:lineRule="exact"/>
        <w:ind w:firstLine="3190" w:firstLineChars="1135"/>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    则</w:t>
      </w:r>
    </w:p>
    <w:p w14:paraId="4CEFACC0">
      <w:pPr>
        <w:spacing w:line="340" w:lineRule="exact"/>
        <w:ind w:firstLine="482" w:firstLineChars="200"/>
        <w:outlineLvl w:val="2"/>
        <w:rPr>
          <w:rFonts w:hint="eastAsia" w:ascii="宋体" w:hAnsi="宋体" w:eastAsia="宋体" w:cs="宋体"/>
          <w:b/>
          <w:bCs/>
          <w:color w:val="auto"/>
          <w:sz w:val="24"/>
          <w:szCs w:val="24"/>
          <w:highlight w:val="none"/>
        </w:rPr>
      </w:pPr>
    </w:p>
    <w:p w14:paraId="643B3170">
      <w:pPr>
        <w:numPr>
          <w:ilvl w:val="0"/>
          <w:numId w:val="1"/>
        </w:numPr>
        <w:spacing w:line="34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供应商资格条件：</w:t>
      </w:r>
    </w:p>
    <w:p w14:paraId="67B92018">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（一）满足《中华人民共和国政府采购法》第二十二条规定，并提供下列资料：</w:t>
      </w:r>
    </w:p>
    <w:p w14:paraId="556AB4C9">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36F6CA35">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（2）上一年度（或上上年度）经审计的财务报告（成立不满一年不需提供）或出具银行的资信证明；</w:t>
      </w:r>
    </w:p>
    <w:p w14:paraId="123156E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（3）依法缴纳税收和社会保障资金的相关材料（近期）；</w:t>
      </w:r>
    </w:p>
    <w:p w14:paraId="47AFD822">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（4）具备履行合同所必需的设备和专业技术能力的书面声明；</w:t>
      </w:r>
    </w:p>
    <w:p w14:paraId="64CAC0DA">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（5）参加政府采购活动前3年内在经营活动中没有重大违法记录的书面声明。</w:t>
      </w:r>
    </w:p>
    <w:p w14:paraId="7B3D7B81">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（二）本项目的特定资格要求：</w:t>
      </w:r>
    </w:p>
    <w:p w14:paraId="2D9BA929">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（1）投标人如委托被授权人参与投标，则被授权人须为本单位正式职工并提供投标人为被授权人缴纳的社会养老保险证明；</w:t>
      </w:r>
    </w:p>
    <w:p w14:paraId="271EFED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（2）未被“信用中国”网站（www.creditchina.gov.cn）列入失信被执行人、重大税收违法案件当事人名单、政府采购严重失信行为记录名单；</w:t>
      </w:r>
    </w:p>
    <w:p w14:paraId="3424022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（3）投标申请人资质类别和等级为：具备工程设计综合资质甲级或市政行业（燃气工程、轨道交通工程除外）乙级及以上设计资质；</w:t>
      </w:r>
    </w:p>
    <w:p w14:paraId="5F436FC5">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（三）本项目不接受联合体参与磋商。</w:t>
      </w:r>
    </w:p>
    <w:p w14:paraId="232F0A79">
      <w:pPr>
        <w:numPr>
          <w:ilvl w:val="0"/>
          <w:numId w:val="1"/>
        </w:numPr>
        <w:spacing w:line="34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资格审查方法：</w:t>
      </w:r>
    </w:p>
    <w:p w14:paraId="0C8F32B0">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本次招标采用资格后审方式，供应商在提交的响应文件中应提供资格审查资料。</w:t>
      </w:r>
    </w:p>
    <w:p w14:paraId="4F7AA97E">
      <w:pPr>
        <w:numPr>
          <w:ilvl w:val="0"/>
          <w:numId w:val="1"/>
        </w:numPr>
        <w:spacing w:line="34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竞争性磋商文件的组成：</w:t>
      </w:r>
    </w:p>
    <w:p w14:paraId="12523908">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包括磋商须知、响应文件各类表格及格式文本、合同文件四部分组成。除以上内容外，采购人发出的对竞争性磋商文件的澄清、修改或补充内容，均为竞争性磋商文件的组成部分，对采购人和供应商起约束作用。</w:t>
      </w:r>
    </w:p>
    <w:p w14:paraId="08EE22ED">
      <w:pPr>
        <w:numPr>
          <w:ilvl w:val="0"/>
          <w:numId w:val="1"/>
        </w:numPr>
        <w:spacing w:line="34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竞争性磋商文件的获取时间和方式：</w:t>
      </w:r>
    </w:p>
    <w:p w14:paraId="306B83D8">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（1）具体详见磋商公告。</w:t>
      </w:r>
    </w:p>
    <w:p w14:paraId="2820B49E">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获取竞争性磋商文件后，应认真阅读竞争性磋商文件中所有的事项、格式、条款和规范要求，若供应商的响应文件未按竞争性磋商文件要求提交全部资料，或响应文件未对竞争性磋商文件作出实质性响应，其责任由供应商自行承担。</w:t>
      </w:r>
    </w:p>
    <w:p w14:paraId="59F29D8A">
      <w:pPr>
        <w:numPr>
          <w:ilvl w:val="0"/>
          <w:numId w:val="1"/>
        </w:numPr>
        <w:spacing w:line="34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竞争性磋商文件的澄清、修改或补充:</w:t>
      </w:r>
    </w:p>
    <w:p w14:paraId="1B229D22">
      <w:pPr>
        <w:spacing w:line="3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本竞争性磋商文件的合法性、合规性及合理性均由采购人负责，供应商若对竞争性磋商文件有疑问，</w:t>
      </w:r>
      <w:bookmarkStart w:id="8" w:name="OLE_LINK3"/>
      <w:r>
        <w:rPr>
          <w:rFonts w:hint="eastAsia" w:ascii="宋体" w:hAnsi="宋体" w:eastAsia="宋体" w:cs="宋体"/>
          <w:color w:val="auto"/>
          <w:sz w:val="24"/>
          <w:szCs w:val="24"/>
          <w:highlight w:val="none"/>
        </w:rPr>
        <w:t>应在2025年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日11时前电话通知招标代理后以书面形式将质疑函发送至指定邮箱</w:t>
      </w:r>
      <w:bookmarkEnd w:id="8"/>
      <w:r>
        <w:rPr>
          <w:rFonts w:hint="eastAsia" w:ascii="宋体" w:hAnsi="宋体" w:eastAsia="宋体" w:cs="宋体"/>
          <w:color w:val="auto"/>
          <w:sz w:val="24"/>
          <w:szCs w:val="24"/>
          <w:highlight w:val="none"/>
        </w:rPr>
        <w:t>，无论是采购人根据需要主动对竞争性磋商文件进行必要的澄清、修改或补充，或是根据供应商的要求对竞争性磋商文件做出澄清，采购人都将于2025年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日18时前通过“东台市兴华招标代理有限公司网站（www.dtxhzb.com）”予以澄清、修改或补充。供应商在磋商截止时间的两日前应当每天都要上网查询，以便获取更新的澄清、修改、补充内容。供应商的疑问及竞争性磋商文件的澄清、修改、补充等内容均以书面形式明确的内容为准。当竞争性磋商文件的澄清、修改、补充等在同一内容的表述上不一致时，以最后发生的书面文件为准。竞争性磋商文件以外内容，不予答复。</w:t>
      </w:r>
    </w:p>
    <w:p w14:paraId="537CE0B4">
      <w:pPr>
        <w:spacing w:line="340" w:lineRule="exact"/>
        <w:ind w:firstLine="480"/>
        <w:rPr>
          <w:rFonts w:hint="eastAsia" w:ascii="宋体" w:hAnsi="宋体" w:eastAsia="宋体" w:cs="宋体"/>
          <w:color w:val="auto"/>
          <w:sz w:val="24"/>
          <w:szCs w:val="24"/>
          <w:highlight w:val="none"/>
        </w:rPr>
      </w:pPr>
    </w:p>
    <w:p w14:paraId="485707B8">
      <w:pPr>
        <w:spacing w:line="340" w:lineRule="exact"/>
        <w:ind w:firstLine="602" w:firstLineChars="20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0"/>
          <w:szCs w:val="30"/>
          <w:highlight w:val="none"/>
        </w:rPr>
        <w:t>（二）</w:t>
      </w:r>
      <w:r>
        <w:rPr>
          <w:rFonts w:hint="eastAsia" w:ascii="宋体" w:hAnsi="宋体" w:eastAsia="宋体" w:cs="宋体"/>
          <w:b/>
          <w:bCs/>
          <w:color w:val="auto"/>
          <w:sz w:val="28"/>
          <w:szCs w:val="28"/>
          <w:highlight w:val="none"/>
        </w:rPr>
        <w:t>采购内容及要求</w:t>
      </w:r>
    </w:p>
    <w:p w14:paraId="5CD7156C">
      <w:pPr>
        <w:spacing w:line="34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1.采购内容及要求</w:t>
      </w:r>
    </w:p>
    <w:p w14:paraId="433FA322">
      <w:pPr>
        <w:spacing w:line="340" w:lineRule="exact"/>
        <w:ind w:firstLine="422" w:firstLineChars="200"/>
        <w:outlineLvl w:val="2"/>
        <w:rPr>
          <w:rFonts w:hint="eastAsia" w:ascii="宋体" w:hAnsi="宋体" w:eastAsia="宋体" w:cs="宋体"/>
          <w:b/>
          <w:bCs/>
          <w:szCs w:val="21"/>
        </w:rPr>
      </w:pPr>
      <w:r>
        <w:rPr>
          <w:rFonts w:hint="eastAsia" w:ascii="宋体" w:hAnsi="宋体" w:eastAsia="宋体" w:cs="宋体"/>
          <w:b/>
          <w:bCs/>
          <w:szCs w:val="21"/>
          <w:lang w:val="en-US" w:eastAsia="zh-CN"/>
        </w:rPr>
        <w:t>1.1</w:t>
      </w:r>
      <w:r>
        <w:rPr>
          <w:rFonts w:hint="eastAsia" w:ascii="宋体" w:hAnsi="宋体" w:eastAsia="宋体" w:cs="宋体"/>
          <w:b/>
          <w:bCs/>
          <w:szCs w:val="21"/>
        </w:rPr>
        <w:t>项目背景及需求</w:t>
      </w:r>
    </w:p>
    <w:p w14:paraId="046997A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为深入贯彻落实习近平总书记关于农村饮用水安全的重要指示精神，持续提升我</w:t>
      </w:r>
      <w:r>
        <w:rPr>
          <w:rFonts w:hint="eastAsia" w:ascii="宋体" w:hAnsi="宋体" w:cs="宋体"/>
          <w:szCs w:val="21"/>
          <w:lang w:val="en-US" w:eastAsia="zh-CN"/>
        </w:rPr>
        <w:t>市</w:t>
      </w:r>
      <w:r>
        <w:rPr>
          <w:rFonts w:hint="eastAsia" w:ascii="宋体" w:hAnsi="宋体" w:eastAsia="宋体" w:cs="宋体"/>
          <w:szCs w:val="21"/>
        </w:rPr>
        <w:t>农村供水保障能力和安全水平。编制东台市“十五五”供水规划项目。要求全面摸清东台市城乡供水存在的问题和需求发展，研究提出解决方案和提升举措。提供上级政策性资金扶持项目的规划依据和条件，项目满足东台市区域供水和农村供水高质量发展需求，指导我市“十五五”期间城乡供水工作开展。</w:t>
      </w:r>
    </w:p>
    <w:p w14:paraId="7DBB004A">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lang w:val="en-US" w:eastAsia="zh-CN"/>
        </w:rPr>
        <w:t>1.2</w:t>
      </w:r>
      <w:r>
        <w:rPr>
          <w:rFonts w:hint="eastAsia" w:ascii="宋体" w:hAnsi="宋体" w:eastAsia="宋体" w:cs="宋体"/>
          <w:b/>
          <w:bCs/>
          <w:szCs w:val="21"/>
        </w:rPr>
        <w:t>规划范围及期限</w:t>
      </w:r>
    </w:p>
    <w:p w14:paraId="43B0B072">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规划范围：规划编制范围为</w:t>
      </w:r>
      <w:r>
        <w:rPr>
          <w:rFonts w:hint="eastAsia" w:ascii="宋体" w:hAnsi="宋体" w:cs="宋体"/>
          <w:szCs w:val="21"/>
          <w:lang w:eastAsia="zh-CN"/>
        </w:rPr>
        <w:t>东台市区域</w:t>
      </w:r>
      <w:r>
        <w:rPr>
          <w:rFonts w:hint="eastAsia" w:ascii="宋体" w:hAnsi="宋体" w:eastAsia="宋体" w:cs="宋体"/>
          <w:szCs w:val="21"/>
        </w:rPr>
        <w:t>，研究范围为整个</w:t>
      </w:r>
      <w:r>
        <w:rPr>
          <w:rFonts w:hint="eastAsia" w:ascii="宋体" w:hAnsi="宋体" w:cs="宋体"/>
          <w:szCs w:val="21"/>
          <w:lang w:eastAsia="zh-CN"/>
        </w:rPr>
        <w:t>市区域</w:t>
      </w:r>
      <w:r>
        <w:rPr>
          <w:rFonts w:hint="eastAsia" w:ascii="宋体" w:hAnsi="宋体" w:eastAsia="宋体" w:cs="宋体"/>
          <w:szCs w:val="21"/>
        </w:rPr>
        <w:t>，重点区域为城区以外的区域。</w:t>
      </w:r>
    </w:p>
    <w:p w14:paraId="188433D8">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规划期限：基准年为2025年，规划期至2030年，提出远景目标。</w:t>
      </w:r>
    </w:p>
    <w:p w14:paraId="054A6BBD">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lang w:val="en-US" w:eastAsia="zh-CN"/>
        </w:rPr>
        <w:t>1.3</w:t>
      </w:r>
      <w:r>
        <w:rPr>
          <w:rFonts w:hint="eastAsia" w:ascii="宋体" w:hAnsi="宋体" w:eastAsia="宋体" w:cs="宋体"/>
          <w:b/>
          <w:bCs/>
          <w:szCs w:val="21"/>
        </w:rPr>
        <w:t>规划总体目标</w:t>
      </w:r>
    </w:p>
    <w:p w14:paraId="126FB571">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推动体系布局完善、设施集约安全、管护规范专业、服务优质高效、运营质效优良的城乡供水高质量发展格局，进一步提升城乡供水保障度和抗风险能力，全面实现城乡供水一体化发展，持续完善长效管护体制机制，初步形成城乡供水现代化格局，让人民群众获得感、幸福感、安全感更加充实、有保障、可持续。</w:t>
      </w:r>
    </w:p>
    <w:p w14:paraId="121F21FF">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lang w:val="en-US" w:eastAsia="zh-CN"/>
        </w:rPr>
        <w:t>1.4</w:t>
      </w:r>
      <w:r>
        <w:rPr>
          <w:rFonts w:hint="eastAsia" w:ascii="宋体" w:hAnsi="宋体" w:eastAsia="宋体" w:cs="宋体"/>
          <w:b/>
          <w:bCs/>
          <w:szCs w:val="21"/>
        </w:rPr>
        <w:t>规划编制的主要内容</w:t>
      </w:r>
    </w:p>
    <w:p w14:paraId="098DEDE8">
      <w:pPr>
        <w:spacing w:line="360" w:lineRule="auto"/>
        <w:ind w:firstLine="422" w:firstLineChars="200"/>
        <w:jc w:val="left"/>
        <w:rPr>
          <w:rFonts w:hint="eastAsia" w:ascii="宋体" w:hAnsi="宋体" w:eastAsia="宋体" w:cs="宋体"/>
          <w:szCs w:val="21"/>
        </w:rPr>
      </w:pPr>
      <w:r>
        <w:rPr>
          <w:rFonts w:hint="eastAsia" w:ascii="宋体" w:hAnsi="宋体" w:eastAsia="宋体" w:cs="宋体"/>
          <w:b/>
          <w:bCs/>
          <w:szCs w:val="21"/>
        </w:rPr>
        <w:t>（一）现状分析</w:t>
      </w:r>
      <w:r>
        <w:rPr>
          <w:rFonts w:hint="eastAsia" w:ascii="宋体" w:hAnsi="宋体" w:eastAsia="宋体" w:cs="宋体"/>
          <w:szCs w:val="21"/>
        </w:rPr>
        <w:t>。包括自然地理、社会经济、地形地貌、水文气象、土壤植被、河流水系、水资源开发利用等情况。根据江苏省城乡供水管理条例，从设施能力建设、供水水质水量、水质监测与检测、应急保障、运行管理服务、管理体制机制、信息化建设等方面，全面调查评估城乡统筹区域供水模式下镇村供水取得的成效及存在的短板。</w:t>
      </w:r>
    </w:p>
    <w:p w14:paraId="77E382AC">
      <w:pPr>
        <w:spacing w:line="360" w:lineRule="auto"/>
        <w:ind w:firstLine="422" w:firstLineChars="200"/>
        <w:jc w:val="left"/>
        <w:rPr>
          <w:rFonts w:hint="eastAsia" w:ascii="宋体" w:hAnsi="宋体" w:eastAsia="宋体" w:cs="宋体"/>
          <w:szCs w:val="21"/>
        </w:rPr>
      </w:pPr>
      <w:r>
        <w:rPr>
          <w:rFonts w:hint="eastAsia" w:ascii="宋体" w:hAnsi="宋体" w:eastAsia="宋体" w:cs="宋体"/>
          <w:b/>
          <w:bCs/>
          <w:szCs w:val="21"/>
        </w:rPr>
        <w:t>（二）规划分析：</w:t>
      </w:r>
      <w:r>
        <w:rPr>
          <w:rFonts w:hint="eastAsia" w:ascii="宋体" w:hAnsi="宋体" w:eastAsia="宋体" w:cs="宋体"/>
          <w:szCs w:val="21"/>
        </w:rPr>
        <w:t>分析城乡供水工程建设与管理服务的需求；提高城乡供水保障能力和水平的必要性；进行水资源需求预测、水资源供给预测、水资源供需平衡分析。</w:t>
      </w:r>
    </w:p>
    <w:p w14:paraId="37D23FCB">
      <w:pPr>
        <w:spacing w:line="360" w:lineRule="auto"/>
        <w:ind w:firstLine="422" w:firstLineChars="200"/>
        <w:jc w:val="left"/>
        <w:rPr>
          <w:rFonts w:hint="eastAsia" w:ascii="宋体" w:hAnsi="宋体" w:eastAsia="宋体" w:cs="宋体"/>
          <w:szCs w:val="21"/>
        </w:rPr>
      </w:pPr>
      <w:r>
        <w:rPr>
          <w:rFonts w:hint="eastAsia" w:ascii="宋体" w:hAnsi="宋体" w:eastAsia="宋体" w:cs="宋体"/>
          <w:b/>
          <w:bCs/>
          <w:szCs w:val="21"/>
        </w:rPr>
        <w:t>（三）总体规划：</w:t>
      </w:r>
      <w:r>
        <w:rPr>
          <w:rFonts w:hint="eastAsia" w:ascii="宋体" w:hAnsi="宋体" w:eastAsia="宋体" w:cs="宋体"/>
          <w:szCs w:val="21"/>
        </w:rPr>
        <w:t>包括指导思想、基本原则、规划范围、规划目标、规划依据、系统分析、评估概算。</w:t>
      </w:r>
    </w:p>
    <w:p w14:paraId="6B3B8107">
      <w:pPr>
        <w:spacing w:line="360" w:lineRule="auto"/>
        <w:ind w:firstLine="422" w:firstLineChars="200"/>
        <w:jc w:val="left"/>
        <w:rPr>
          <w:rFonts w:hint="eastAsia" w:ascii="宋体" w:hAnsi="宋体" w:eastAsia="宋体" w:cs="宋体"/>
          <w:szCs w:val="21"/>
        </w:rPr>
      </w:pPr>
      <w:r>
        <w:rPr>
          <w:rFonts w:hint="eastAsia" w:ascii="宋体" w:hAnsi="宋体" w:eastAsia="宋体" w:cs="宋体"/>
          <w:b/>
          <w:bCs/>
          <w:szCs w:val="21"/>
        </w:rPr>
        <w:t>（四）完善城乡供水工程体系</w:t>
      </w:r>
      <w:r>
        <w:rPr>
          <w:rFonts w:hint="eastAsia" w:ascii="宋体" w:hAnsi="宋体" w:eastAsia="宋体" w:cs="宋体"/>
          <w:szCs w:val="21"/>
        </w:rPr>
        <w:t>：主要包括水源工程、水厂工程、管网更新改造工程、增压泵站工程、计量装置配套及信息化建设等。</w:t>
      </w:r>
    </w:p>
    <w:p w14:paraId="26458E41">
      <w:pPr>
        <w:spacing w:line="360" w:lineRule="auto"/>
        <w:ind w:firstLine="422" w:firstLineChars="200"/>
        <w:jc w:val="left"/>
        <w:rPr>
          <w:rFonts w:hint="eastAsia" w:ascii="宋体" w:hAnsi="宋体" w:eastAsia="宋体" w:cs="宋体"/>
          <w:szCs w:val="21"/>
        </w:rPr>
      </w:pPr>
      <w:r>
        <w:rPr>
          <w:rFonts w:hint="eastAsia" w:ascii="宋体" w:hAnsi="宋体" w:eastAsia="宋体" w:cs="宋体"/>
          <w:b/>
          <w:bCs/>
          <w:szCs w:val="21"/>
        </w:rPr>
        <w:t>（五）深入实施水质提升专项行动</w:t>
      </w:r>
      <w:r>
        <w:rPr>
          <w:rFonts w:hint="eastAsia" w:ascii="宋体" w:hAnsi="宋体" w:eastAsia="宋体" w:cs="宋体"/>
          <w:szCs w:val="21"/>
        </w:rPr>
        <w:t>：主要包括水源保护、制水工艺提档升级与设施设备配套、水质检测监测等。建立健全城乡生活饮用水水质全过程监控体系和管理机制，形成供水企业自检、市水质检测中心巡检和疾控部门监测三位一体的水质保障体系。</w:t>
      </w:r>
    </w:p>
    <w:p w14:paraId="1C1851B3">
      <w:pPr>
        <w:spacing w:line="360" w:lineRule="auto"/>
        <w:ind w:firstLine="422" w:firstLineChars="200"/>
        <w:jc w:val="left"/>
        <w:rPr>
          <w:rFonts w:hint="eastAsia" w:ascii="宋体" w:hAnsi="宋体" w:eastAsia="宋体" w:cs="宋体"/>
          <w:szCs w:val="21"/>
        </w:rPr>
      </w:pPr>
      <w:r>
        <w:rPr>
          <w:rFonts w:hint="eastAsia" w:ascii="宋体" w:hAnsi="宋体" w:eastAsia="宋体" w:cs="宋体"/>
          <w:b/>
          <w:bCs/>
          <w:szCs w:val="21"/>
        </w:rPr>
        <w:t>（六）健全工程长效运行管护机制</w:t>
      </w:r>
      <w:r>
        <w:rPr>
          <w:rFonts w:hint="eastAsia" w:ascii="宋体" w:hAnsi="宋体" w:eastAsia="宋体" w:cs="宋体"/>
          <w:szCs w:val="21"/>
        </w:rPr>
        <w:t>：包括城乡供水统管模式，建立</w:t>
      </w:r>
      <w:r>
        <w:rPr>
          <w:rFonts w:hint="eastAsia" w:ascii="宋体" w:hAnsi="宋体" w:cs="宋体"/>
          <w:szCs w:val="21"/>
          <w:lang w:eastAsia="zh-CN"/>
        </w:rPr>
        <w:t>市区域</w:t>
      </w:r>
      <w:r>
        <w:rPr>
          <w:rFonts w:hint="eastAsia" w:ascii="宋体" w:hAnsi="宋体" w:eastAsia="宋体" w:cs="宋体"/>
          <w:szCs w:val="21"/>
        </w:rPr>
        <w:t>智慧供水管理服务平台；建立健全行业监管体系、制定标准与规范、定期开展检查与评估、强化行业培训与指导等；规模化工程全部实现标准化管理；包括城乡供水水价和水费收缴机制，计量设施完备，实行计量收费，城乡供水水价达到运行成本。</w:t>
      </w:r>
    </w:p>
    <w:p w14:paraId="26C331C0">
      <w:pPr>
        <w:spacing w:line="360" w:lineRule="auto"/>
        <w:ind w:firstLine="422" w:firstLineChars="200"/>
        <w:jc w:val="left"/>
        <w:rPr>
          <w:rFonts w:hint="eastAsia" w:ascii="宋体" w:hAnsi="宋体" w:eastAsia="宋体" w:cs="宋体"/>
          <w:szCs w:val="21"/>
        </w:rPr>
      </w:pPr>
      <w:r>
        <w:rPr>
          <w:rFonts w:hint="eastAsia" w:ascii="宋体" w:hAnsi="宋体" w:eastAsia="宋体" w:cs="宋体"/>
          <w:b/>
          <w:bCs/>
          <w:szCs w:val="21"/>
        </w:rPr>
        <w:t>（七）强化应急供水保障</w:t>
      </w:r>
      <w:r>
        <w:rPr>
          <w:rFonts w:hint="eastAsia" w:ascii="宋体" w:hAnsi="宋体" w:eastAsia="宋体" w:cs="宋体"/>
          <w:szCs w:val="21"/>
        </w:rPr>
        <w:t>：包括制定应急预案、组建应急队伍、储备应急物资、建立应急响应机制等；建立健全应急资金保障机制，确保在紧急情况下有足够的资金用于应急供水、设备抢修、水质检测等关键环节；包括突发事故应急处置工作，集中储备应急物资，提升应急供水保障。</w:t>
      </w:r>
    </w:p>
    <w:p w14:paraId="0A9CAC89">
      <w:pPr>
        <w:spacing w:line="360" w:lineRule="auto"/>
        <w:ind w:firstLine="422" w:firstLineChars="200"/>
        <w:jc w:val="left"/>
        <w:rPr>
          <w:rFonts w:hint="eastAsia" w:ascii="宋体" w:hAnsi="宋体" w:eastAsia="宋体" w:cs="宋体"/>
          <w:szCs w:val="21"/>
        </w:rPr>
      </w:pPr>
      <w:r>
        <w:rPr>
          <w:rFonts w:hint="eastAsia" w:ascii="宋体" w:hAnsi="宋体" w:eastAsia="宋体" w:cs="宋体"/>
          <w:b/>
          <w:bCs/>
          <w:szCs w:val="21"/>
        </w:rPr>
        <w:t>（八）投资测算和筹资渠道</w:t>
      </w:r>
      <w:r>
        <w:rPr>
          <w:rFonts w:hint="eastAsia" w:ascii="宋体" w:hAnsi="宋体" w:eastAsia="宋体" w:cs="宋体"/>
          <w:szCs w:val="21"/>
        </w:rPr>
        <w:t>：分类做好投资测算，资金筹措渠道。</w:t>
      </w:r>
    </w:p>
    <w:p w14:paraId="5E53CF53">
      <w:pPr>
        <w:widowControl w:val="0"/>
        <w:spacing w:after="0" w:line="360" w:lineRule="auto"/>
        <w:ind w:left="0" w:leftChars="0" w:firstLine="422"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（九）经济和环境评价</w:t>
      </w:r>
      <w:r>
        <w:rPr>
          <w:rFonts w:hint="eastAsia" w:ascii="宋体" w:hAnsi="宋体" w:eastAsia="宋体" w:cs="宋体"/>
          <w:kern w:val="2"/>
          <w:sz w:val="21"/>
          <w:szCs w:val="21"/>
          <w:lang w:val="en-US" w:eastAsia="zh-CN" w:bidi="ar-SA"/>
        </w:rPr>
        <w:t>：国民经济评价、财务分析、环境影响评价分析、环境保护措施。</w:t>
      </w:r>
    </w:p>
    <w:p w14:paraId="3572A258">
      <w:pPr>
        <w:spacing w:line="360" w:lineRule="auto"/>
        <w:ind w:firstLine="422" w:firstLineChars="200"/>
        <w:jc w:val="left"/>
        <w:rPr>
          <w:rFonts w:hint="eastAsia" w:ascii="宋体" w:hAnsi="宋体" w:eastAsia="宋体" w:cs="宋体"/>
          <w:szCs w:val="21"/>
        </w:rPr>
      </w:pPr>
      <w:r>
        <w:rPr>
          <w:rFonts w:hint="eastAsia" w:ascii="宋体" w:hAnsi="宋体" w:eastAsia="宋体" w:cs="宋体"/>
          <w:b/>
          <w:bCs/>
          <w:szCs w:val="21"/>
        </w:rPr>
        <w:t>（十）强化保障措施</w:t>
      </w:r>
      <w:r>
        <w:rPr>
          <w:rFonts w:hint="eastAsia" w:ascii="宋体" w:hAnsi="宋体" w:eastAsia="宋体" w:cs="宋体"/>
          <w:szCs w:val="21"/>
        </w:rPr>
        <w:t>：组织领导、资金保障、考核监督、技术指导、宣传推广等。</w:t>
      </w:r>
    </w:p>
    <w:p w14:paraId="16DE62C0">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lang w:val="en-US" w:eastAsia="zh-CN"/>
        </w:rPr>
        <w:t>1.5</w:t>
      </w:r>
      <w:r>
        <w:rPr>
          <w:rFonts w:hint="eastAsia" w:ascii="宋体" w:hAnsi="宋体" w:eastAsia="宋体" w:cs="宋体"/>
          <w:b/>
          <w:bCs/>
          <w:szCs w:val="21"/>
        </w:rPr>
        <w:t>服务期限、进度要求</w:t>
      </w:r>
    </w:p>
    <w:p w14:paraId="62E7BFFC">
      <w:pPr>
        <w:spacing w:line="360" w:lineRule="auto"/>
        <w:ind w:firstLine="422" w:firstLineChars="200"/>
        <w:jc w:val="left"/>
        <w:rPr>
          <w:rFonts w:hint="eastAsia" w:ascii="宋体" w:hAnsi="宋体" w:eastAsia="宋体" w:cs="宋体"/>
          <w:b/>
          <w:bCs/>
          <w:szCs w:val="21"/>
          <w:lang w:val="zh-CN"/>
        </w:rPr>
      </w:pPr>
      <w:r>
        <w:rPr>
          <w:rFonts w:hint="eastAsia" w:ascii="宋体" w:hAnsi="宋体" w:eastAsia="宋体" w:cs="宋体"/>
          <w:b/>
          <w:bCs/>
          <w:szCs w:val="21"/>
        </w:rPr>
        <w:t>服务期限：自合同签订之日起90日历天内提交专家评审通过的成果</w:t>
      </w:r>
      <w:r>
        <w:rPr>
          <w:rFonts w:hint="eastAsia" w:ascii="宋体" w:hAnsi="宋体" w:eastAsia="宋体" w:cs="宋体"/>
          <w:b/>
          <w:bCs/>
          <w:szCs w:val="21"/>
          <w:lang w:val="zh-CN"/>
        </w:rPr>
        <w:t>。</w:t>
      </w:r>
    </w:p>
    <w:p w14:paraId="7537CE63">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具体服务期节点要求如下：</w:t>
      </w:r>
    </w:p>
    <w:p w14:paraId="10A577ED">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（一）基础资料整理及初步方案阶段：45日历天</w:t>
      </w:r>
    </w:p>
    <w:p w14:paraId="6014CD02">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现状调研：收集相关资料，走访相关部门听取意见，踏勘现场；基础资料整理，为后续规划方案编制打下基础。</w:t>
      </w:r>
    </w:p>
    <w:p w14:paraId="0FC6F74C">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初步方案：以问题和目标为双导向，形成规划工作原则、方法、技术路线后形成初步方案，并向甲方汇报。</w:t>
      </w:r>
    </w:p>
    <w:p w14:paraId="30D6C443">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（二）中间成果阶段:10日历天</w:t>
      </w:r>
    </w:p>
    <w:p w14:paraId="3F2C4008">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根据甲方对初步方案的意见，进一步深化完善规划内容，结合地方需求规划近期建设方案；形成中间成果，并征求各相关部门意见。</w:t>
      </w:r>
    </w:p>
    <w:p w14:paraId="22A69473">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（三）成果评审阶段:15日历天</w:t>
      </w:r>
    </w:p>
    <w:p w14:paraId="37181425">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根据各部门相关意见修改完善中间成果，形成规划论证成果；并组织专家评审。</w:t>
      </w:r>
    </w:p>
    <w:p w14:paraId="70248362">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（四）提交成果阶段：20日历天</w:t>
      </w:r>
    </w:p>
    <w:p w14:paraId="729BEE6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根据专家评审意见进行成果修改和完善，评审后20日历天内提交成果。</w:t>
      </w:r>
    </w:p>
    <w:p w14:paraId="2D12ECCA">
      <w:pPr>
        <w:tabs>
          <w:tab w:val="left" w:pos="1710"/>
        </w:tabs>
        <w:snapToGrid w:val="0"/>
        <w:spacing w:line="360" w:lineRule="auto"/>
        <w:ind w:firstLine="422" w:firstLineChars="200"/>
        <w:contextualSpacing/>
        <w:jc w:val="left"/>
        <w:rPr>
          <w:rFonts w:hint="eastAsia" w:ascii="宋体" w:hAnsi="宋体" w:eastAsia="宋体" w:cs="宋体"/>
          <w:b/>
          <w:szCs w:val="21"/>
        </w:rPr>
      </w:pPr>
      <w:r>
        <w:rPr>
          <w:rFonts w:hint="eastAsia" w:ascii="宋体" w:hAnsi="宋体" w:eastAsia="宋体" w:cs="宋体"/>
          <w:b/>
          <w:szCs w:val="21"/>
          <w:lang w:val="en-US" w:eastAsia="zh-CN"/>
        </w:rPr>
        <w:t>1.6</w:t>
      </w:r>
      <w:r>
        <w:rPr>
          <w:rFonts w:hint="eastAsia" w:ascii="宋体" w:hAnsi="宋体" w:eastAsia="宋体" w:cs="宋体"/>
          <w:b/>
          <w:szCs w:val="21"/>
        </w:rPr>
        <w:t>验收</w:t>
      </w:r>
    </w:p>
    <w:p w14:paraId="6B56DF31">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验收：乙方编制的报告文本，甲方组织的专家进行评审</w:t>
      </w:r>
      <w:r>
        <w:rPr>
          <w:rFonts w:hint="eastAsia" w:ascii="宋体" w:hAnsi="宋体" w:cs="宋体"/>
          <w:szCs w:val="21"/>
          <w:lang w:eastAsia="zh-CN"/>
        </w:rPr>
        <w:t>，</w:t>
      </w:r>
      <w:r>
        <w:rPr>
          <w:rFonts w:hint="eastAsia" w:ascii="宋体" w:hAnsi="宋体" w:cs="宋体"/>
          <w:szCs w:val="21"/>
          <w:lang w:val="en-US" w:eastAsia="zh-CN"/>
        </w:rPr>
        <w:t>并配合甲方做好成果报批及修编工作</w:t>
      </w:r>
      <w:r>
        <w:rPr>
          <w:rFonts w:hint="eastAsia" w:ascii="宋体" w:hAnsi="宋体" w:eastAsia="宋体" w:cs="宋体"/>
          <w:szCs w:val="21"/>
        </w:rPr>
        <w:t>。</w:t>
      </w:r>
    </w:p>
    <w:p w14:paraId="7499C4F4">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付款：详见合同条款。</w:t>
      </w:r>
    </w:p>
    <w:p w14:paraId="27F35B35">
      <w:pPr>
        <w:pStyle w:val="25"/>
        <w:ind w:firstLine="482" w:firstLineChars="200"/>
        <w:outlineLvl w:val="2"/>
        <w:rPr>
          <w:rFonts w:hint="eastAsia" w:ascii="宋体" w:hAnsi="宋体" w:eastAsia="宋体" w:cs="宋体"/>
          <w:b/>
          <w:bCs/>
          <w:szCs w:val="21"/>
        </w:rPr>
      </w:pPr>
      <w:r>
        <w:rPr>
          <w:rFonts w:hint="eastAsia" w:ascii="宋体" w:hAnsi="宋体" w:eastAsia="宋体" w:cs="宋体"/>
          <w:b/>
          <w:bCs/>
          <w:szCs w:val="21"/>
        </w:rPr>
        <w:t>注：中标人申请付款时须出具书面付款申请，同时提供现行税率的增值税专用发票。采购人保留调整部分工程量的权利。</w:t>
      </w:r>
    </w:p>
    <w:p w14:paraId="33CDCFE4">
      <w:pPr>
        <w:pStyle w:val="25"/>
        <w:ind w:firstLine="482" w:firstLineChars="200"/>
        <w:outlineLvl w:val="2"/>
        <w:rPr>
          <w:rFonts w:hint="eastAsia" w:ascii="宋体" w:hAnsi="宋体" w:eastAsia="宋体" w:cs="宋体"/>
          <w:color w:val="auto"/>
          <w:szCs w:val="22"/>
          <w:highlight w:val="none"/>
        </w:rPr>
      </w:pPr>
      <w:r>
        <w:rPr>
          <w:rFonts w:hint="eastAsia" w:ascii="宋体" w:hAnsi="宋体" w:eastAsia="宋体" w:cs="宋体"/>
          <w:b/>
          <w:bCs/>
          <w:color w:val="auto"/>
          <w:szCs w:val="22"/>
          <w:highlight w:val="none"/>
        </w:rPr>
        <w:t>2. 质量要求</w:t>
      </w:r>
    </w:p>
    <w:p w14:paraId="5CF607EA">
      <w:pPr>
        <w:pStyle w:val="25"/>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见供应商须知前附表。</w:t>
      </w:r>
    </w:p>
    <w:p w14:paraId="2C785FEF">
      <w:pPr>
        <w:pStyle w:val="25"/>
        <w:ind w:firstLine="482" w:firstLineChars="200"/>
        <w:outlineLvl w:val="2"/>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3. 履行期限和地点</w:t>
      </w:r>
    </w:p>
    <w:p w14:paraId="464CB0C4">
      <w:pPr>
        <w:pStyle w:val="25"/>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见供应商须知前附表。</w:t>
      </w:r>
    </w:p>
    <w:p w14:paraId="0FA3223E">
      <w:pPr>
        <w:pStyle w:val="25"/>
        <w:ind w:firstLine="482" w:firstLineChars="200"/>
        <w:rPr>
          <w:rFonts w:hint="eastAsia" w:ascii="宋体" w:hAnsi="宋体" w:eastAsia="宋体" w:cs="宋体"/>
          <w:b/>
          <w:bCs/>
          <w:color w:val="auto"/>
          <w:kern w:val="2"/>
          <w:highlight w:val="none"/>
        </w:rPr>
      </w:pPr>
    </w:p>
    <w:p w14:paraId="4C3865FF">
      <w:pPr>
        <w:spacing w:line="340" w:lineRule="exact"/>
        <w:ind w:firstLine="703" w:firstLineChars="250"/>
        <w:jc w:val="center"/>
        <w:outlineLvl w:val="1"/>
        <w:rPr>
          <w:rFonts w:hint="eastAsia" w:ascii="宋体" w:hAnsi="宋体" w:eastAsia="宋体" w:cs="宋体"/>
          <w:b/>
          <w:bCs/>
          <w:color w:val="auto"/>
          <w:sz w:val="28"/>
          <w:szCs w:val="28"/>
          <w:highlight w:val="none"/>
        </w:rPr>
      </w:pPr>
    </w:p>
    <w:p w14:paraId="36213052">
      <w:pPr>
        <w:spacing w:line="340" w:lineRule="exact"/>
        <w:ind w:firstLine="703" w:firstLineChars="25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22D259A1">
      <w:pPr>
        <w:spacing w:line="340" w:lineRule="exact"/>
        <w:ind w:firstLine="482" w:firstLineChars="200"/>
        <w:rPr>
          <w:rFonts w:hint="eastAsia" w:ascii="宋体" w:hAnsi="宋体" w:eastAsia="宋体" w:cs="宋体"/>
          <w:b/>
          <w:bCs/>
          <w:color w:val="auto"/>
          <w:sz w:val="24"/>
          <w:szCs w:val="24"/>
          <w:highlight w:val="none"/>
        </w:rPr>
      </w:pPr>
    </w:p>
    <w:p w14:paraId="78940ABF">
      <w:pPr>
        <w:spacing w:line="340" w:lineRule="exact"/>
        <w:ind w:firstLine="602" w:firstLineChars="250"/>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1.响应文件的组成</w:t>
      </w:r>
    </w:p>
    <w:p w14:paraId="370A7B89">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响应文件主要包括以下内容：</w:t>
      </w:r>
    </w:p>
    <w:p w14:paraId="5A5683F9">
      <w:pPr>
        <w:numPr>
          <w:ilvl w:val="0"/>
          <w:numId w:val="2"/>
        </w:num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综合评分索引表；</w:t>
      </w:r>
    </w:p>
    <w:p w14:paraId="596CE74E">
      <w:pPr>
        <w:numPr>
          <w:ilvl w:val="0"/>
          <w:numId w:val="2"/>
        </w:num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开标一览表（格式附后）;</w:t>
      </w:r>
    </w:p>
    <w:p w14:paraId="69A7B704">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（3）资格审查资料；</w:t>
      </w:r>
    </w:p>
    <w:p w14:paraId="2748AF87">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①供应商营业执照复印件；</w:t>
      </w:r>
    </w:p>
    <w:p w14:paraId="4F4CF86F">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②上一年度或上上年度经审计的财务报吿复印件（成立不满一年不需提供）或银行资信证明；</w:t>
      </w:r>
    </w:p>
    <w:p w14:paraId="50326644">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③依法缴纳税收和社会保障资金的相关材料（提供近六个月内任意一个月证明）复印件；</w:t>
      </w:r>
    </w:p>
    <w:p w14:paraId="30C36E8F">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④具备履行合同所必需的设备和专业技术能力的书面声明；</w:t>
      </w:r>
    </w:p>
    <w:p w14:paraId="6111D154">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⑤参加政府采购活动前3年内在经营活动中没有重大违法记录的书面声明；</w:t>
      </w:r>
    </w:p>
    <w:p w14:paraId="24D0007B">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⑥供应商法定代表人身份证明和响应文件签署授权委托书（正本中提供原件，副本中可放复印件）（另附法定代表人和被授权人的身份证正反面复印件）；</w:t>
      </w:r>
    </w:p>
    <w:p w14:paraId="121CA8A9">
      <w:pPr>
        <w:spacing w:line="340" w:lineRule="exact"/>
        <w:ind w:firstLine="600" w:firstLineChars="250"/>
        <w:outlineLvl w:val="2"/>
        <w:rPr>
          <w:rStyle w:val="2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⑦供应商的商业信誉情况，通过“信用中国”网站自行查询，附查询截图，网址：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sz w:val="24"/>
          <w:szCs w:val="24"/>
          <w:highlight w:val="none"/>
        </w:rPr>
        <w:t>www.creditchina.gov.cn（提供失信被执行人、重大税收违法案件当事人名单、政府采购严重失信行为记录截图）；</w:t>
      </w:r>
      <w:r>
        <w:rPr>
          <w:rStyle w:val="24"/>
          <w:rFonts w:hint="eastAsia" w:ascii="宋体" w:hAnsi="宋体" w:eastAsia="宋体" w:cs="宋体"/>
          <w:color w:val="auto"/>
          <w:sz w:val="24"/>
          <w:szCs w:val="24"/>
          <w:highlight w:val="none"/>
        </w:rPr>
        <w:fldChar w:fldCharType="end"/>
      </w:r>
    </w:p>
    <w:p w14:paraId="13BCA537">
      <w:pPr>
        <w:spacing w:line="340" w:lineRule="exact"/>
        <w:ind w:firstLine="600" w:firstLineChars="250"/>
        <w:outlineLvl w:val="2"/>
        <w:rPr>
          <w:rStyle w:val="24"/>
          <w:rFonts w:hint="eastAsia" w:ascii="宋体" w:hAnsi="宋体" w:eastAsia="宋体" w:cs="宋体"/>
          <w:color w:val="auto"/>
          <w:sz w:val="24"/>
          <w:szCs w:val="24"/>
          <w:highlight w:val="none"/>
          <w:u w:val="none"/>
        </w:rPr>
      </w:pPr>
      <w:r>
        <w:rPr>
          <w:rStyle w:val="24"/>
          <w:rFonts w:hint="eastAsia" w:ascii="宋体" w:hAnsi="宋体" w:eastAsia="宋体" w:cs="宋体"/>
          <w:color w:val="auto"/>
          <w:sz w:val="24"/>
          <w:szCs w:val="24"/>
          <w:highlight w:val="none"/>
          <w:u w:val="none"/>
        </w:rPr>
        <w:t>⑧供应商为项目负责人和授权委托人缴纳的社会养老保险证明复印件；</w:t>
      </w:r>
    </w:p>
    <w:p w14:paraId="5EF28D6C">
      <w:pPr>
        <w:spacing w:line="340" w:lineRule="exact"/>
        <w:ind w:firstLine="600" w:firstLineChars="250"/>
        <w:outlineLvl w:val="2"/>
        <w:rPr>
          <w:rStyle w:val="24"/>
          <w:rFonts w:hint="eastAsia" w:ascii="宋体" w:hAnsi="宋体" w:eastAsia="宋体" w:cs="宋体"/>
          <w:color w:val="auto"/>
          <w:sz w:val="24"/>
          <w:szCs w:val="24"/>
          <w:highlight w:val="none"/>
          <w:u w:val="none"/>
        </w:rPr>
      </w:pPr>
      <w:r>
        <w:rPr>
          <w:rStyle w:val="24"/>
          <w:rFonts w:hint="eastAsia" w:ascii="宋体" w:hAnsi="宋体" w:eastAsia="宋体" w:cs="宋体"/>
          <w:color w:val="auto"/>
          <w:sz w:val="24"/>
          <w:szCs w:val="24"/>
          <w:highlight w:val="none"/>
          <w:u w:val="none"/>
        </w:rPr>
        <w:t>⑨供应商的</w:t>
      </w:r>
      <w:r>
        <w:rPr>
          <w:rStyle w:val="24"/>
          <w:rFonts w:hint="eastAsia" w:ascii="宋体" w:hAnsi="宋体" w:eastAsia="宋体" w:cs="宋体"/>
          <w:color w:val="auto"/>
          <w:sz w:val="24"/>
          <w:szCs w:val="24"/>
          <w:highlight w:val="none"/>
          <w:u w:val="none"/>
          <w:lang w:val="en-US" w:eastAsia="zh-CN"/>
        </w:rPr>
        <w:t>有效的</w:t>
      </w:r>
      <w:r>
        <w:rPr>
          <w:rStyle w:val="24"/>
          <w:rFonts w:hint="eastAsia" w:ascii="宋体" w:hAnsi="宋体" w:eastAsia="宋体" w:cs="宋体"/>
          <w:color w:val="auto"/>
          <w:sz w:val="24"/>
          <w:szCs w:val="24"/>
          <w:highlight w:val="none"/>
          <w:u w:val="none"/>
        </w:rPr>
        <w:t>资质证书复印件；</w:t>
      </w:r>
    </w:p>
    <w:p w14:paraId="0606063F">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（4）磋商响应函；</w:t>
      </w:r>
    </w:p>
    <w:p w14:paraId="0021DAE4">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（5）供应商根据评分细则要求提供相关资料。</w:t>
      </w:r>
    </w:p>
    <w:p w14:paraId="6EBA6269">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3A8C1B4">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（1）以上材料必须按顺序进行排列。</w:t>
      </w:r>
    </w:p>
    <w:p w14:paraId="6FB71AFB">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（2）“上一年度（或上上年度）的财务报告”，投标人应提供经审计的财务报告，或银行出具的资信证明。</w:t>
      </w:r>
    </w:p>
    <w:p w14:paraId="05C23ECD">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（3）“依法缴纳税收的相关材料”，供应商应提供近六个月内任意一个月缴纳税收的凭据。</w:t>
      </w:r>
    </w:p>
    <w:p w14:paraId="6A1EC0DB">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（4）“依法缴纳社会保障资金的相关材料”，供应商应提供近六个月内任意一个月缴纳社会保险的凭据（专用收据或社会保险缴纳清单）。</w:t>
      </w:r>
    </w:p>
    <w:p w14:paraId="460983D4">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（5）依法免税或不需要缴纳社会保障资金的供应商，应提供相应文件证明其依法免税或不需要缴纳社会保障资金。</w:t>
      </w:r>
    </w:p>
    <w:p w14:paraId="49E0B574">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（6）如为法定代表人参与竞争性磋商的无须提供“响应文件签署授权委托书”。</w:t>
      </w:r>
    </w:p>
    <w:p w14:paraId="68C53EC2">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（7）与本次竞争性磋商无关的资料不要求提供。</w:t>
      </w:r>
    </w:p>
    <w:p w14:paraId="2044CDE5">
      <w:pPr>
        <w:spacing w:line="340" w:lineRule="exact"/>
        <w:ind w:firstLine="602" w:firstLineChars="25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2.磋商报价</w:t>
      </w:r>
    </w:p>
    <w:p w14:paraId="616D32D4">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（1）磋商报价应包括完成合同范围的全部工作内容所发生的全部费用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人工、管理、财务、培训、后续服务等所有费用，如一旦中标，在项目实施中出现任何遗漏，均由成交供应商免费提供，采购人不再支付任何费用。</w:t>
      </w:r>
    </w:p>
    <w:p w14:paraId="1AAE6164">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（2）招标代理费（3000元）、评审费（1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00元），由中标人领取中标通知书时支付给代理机构。</w:t>
      </w:r>
    </w:p>
    <w:p w14:paraId="1B14F3BA">
      <w:pPr>
        <w:spacing w:line="340" w:lineRule="exact"/>
        <w:ind w:firstLine="602" w:firstLineChars="250"/>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3.磋商保证金</w:t>
      </w:r>
    </w:p>
    <w:p w14:paraId="47EA052C">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（1）详见供应商须知前附表；</w:t>
      </w:r>
    </w:p>
    <w:p w14:paraId="5EC76BCC">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（2）下列任何情况发生时,磋商保证金将不予退还:</w:t>
      </w:r>
    </w:p>
    <w:p w14:paraId="1B4C3E94">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①供应商在磋商有效期内撤回其磋商的;</w:t>
      </w:r>
    </w:p>
    <w:p w14:paraId="616BF25D">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②提供虚假材料谋取成交的；</w:t>
      </w:r>
    </w:p>
    <w:p w14:paraId="03B5747C">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③采取不正当手段诋毁，排挤其他供应商的；</w:t>
      </w:r>
    </w:p>
    <w:p w14:paraId="6570C1E7">
      <w:pPr>
        <w:spacing w:line="340" w:lineRule="exact"/>
        <w:ind w:firstLine="600" w:firstLineChars="2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④与采购人，其他供应商恶意串通的。</w:t>
      </w:r>
    </w:p>
    <w:p w14:paraId="71AAA583">
      <w:pPr>
        <w:spacing w:line="340" w:lineRule="exact"/>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4.磋商有效期</w:t>
      </w:r>
    </w:p>
    <w:p w14:paraId="69DD3A8B">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（1）磋商有效期为开标之日起60天，磋商有效期比规定短的将被视为非响应性磋商而予以拒绝。</w:t>
      </w:r>
    </w:p>
    <w:p w14:paraId="3697FDB9">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特殊情况下，采购人于原磋商有效期满之前，可向供应商提出延长有效期的要求。这种要求与答复均应采用书面形式。供应商可以拒绝采购人这一要求而放弃磋商，采购人在接到供应商书面答复后，将在原磋商有效期满后五日内无息退还磋商保证金。同意延长磋商有效期的供应商既不能要求也不允许修改期响应文件，上述有关磋商保证金的规定在延长期内继续有效，同时受磋商有效期约束的所有权利与义务均延长至新的有效期。</w:t>
      </w:r>
    </w:p>
    <w:p w14:paraId="494B930F">
      <w:pPr>
        <w:spacing w:line="340" w:lineRule="exact"/>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5.响应文件签署</w:t>
      </w:r>
    </w:p>
    <w:p w14:paraId="5941DA1E">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一览表、磋商响应函、书面声明均需加盖供应商单位公章并由法定代表人或被授权人签字或盖章。法定代表人身份证明书需加盖供应商单位公章。授权委托书需同时加盖供应商单位公章和法定代表人印章。营业执照、财务报表、纳税和社保证明、养老保险、信用中国截图的复印件均需加盖供应商单位公章。</w:t>
      </w:r>
    </w:p>
    <w:p w14:paraId="4DBA7AB2">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（2）完成章印加盖后再扫描成PDF文档。PDF文档须清晰可辩，否则将影响供应商的评审得分，甚至会被作为无效处理。</w:t>
      </w:r>
    </w:p>
    <w:p w14:paraId="74EC0584">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6.响应文件的生成与压缩</w:t>
      </w:r>
    </w:p>
    <w:p w14:paraId="5E1330DB">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"mailto:（1）响应文件按"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1）响应文件按“1.响应文件的组成”的内容和顺序编制，按要求签字盖章后扫描生成PDF文档，使用360压缩打包加密后发送到指定邮箱，压缩包密码建议采用字母与数字的组合，压缩包里面有且仅有一个PDF文档。压缩包文件名为本采购项目名称，邮箱发送主题上标明“响应文件”字样。</w:t>
      </w:r>
      <w:bookmarkStart w:id="9" w:name="OLE_LINK4"/>
      <w:r>
        <w:rPr>
          <w:rFonts w:hint="eastAsia" w:ascii="宋体" w:hAnsi="宋体" w:eastAsia="宋体" w:cs="宋体"/>
          <w:color w:val="auto"/>
          <w:sz w:val="24"/>
          <w:szCs w:val="24"/>
          <w:highlight w:val="none"/>
        </w:rPr>
        <w:t>成交单位在成交后须按要求编制全套纸质文件送至本项目的采购代理机构处。</w:t>
      </w:r>
      <w:bookmarkEnd w:id="9"/>
      <w:r>
        <w:rPr>
          <w:rFonts w:hint="eastAsia" w:ascii="宋体" w:hAnsi="宋体" w:eastAsia="宋体" w:cs="宋体"/>
          <w:color w:val="auto"/>
          <w:sz w:val="24"/>
          <w:szCs w:val="24"/>
          <w:highlight w:val="none"/>
        </w:rPr>
        <w:fldChar w:fldCharType="end"/>
      </w:r>
    </w:p>
    <w:p w14:paraId="0651BEA5">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（2）有章印要求的必须为原件扫描件。</w:t>
      </w:r>
    </w:p>
    <w:p w14:paraId="4F744DA9">
      <w:pPr>
        <w:spacing w:line="340" w:lineRule="exact"/>
        <w:ind w:firstLine="420"/>
        <w:rPr>
          <w:rFonts w:hint="eastAsia" w:ascii="宋体" w:hAnsi="宋体" w:eastAsia="宋体" w:cs="宋体"/>
          <w:color w:val="auto"/>
          <w:sz w:val="24"/>
          <w:szCs w:val="24"/>
          <w:highlight w:val="none"/>
        </w:rPr>
      </w:pPr>
    </w:p>
    <w:p w14:paraId="72F789ED">
      <w:pPr>
        <w:spacing w:line="340" w:lineRule="exact"/>
        <w:ind w:firstLine="42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（四）响应文件的提交</w:t>
      </w:r>
    </w:p>
    <w:p w14:paraId="3E16E7B2">
      <w:pPr>
        <w:spacing w:line="340" w:lineRule="exact"/>
        <w:ind w:firstLine="420"/>
        <w:rPr>
          <w:rFonts w:hint="eastAsia" w:ascii="宋体" w:hAnsi="宋体" w:eastAsia="宋体" w:cs="宋体"/>
          <w:color w:val="auto"/>
          <w:sz w:val="24"/>
          <w:szCs w:val="24"/>
          <w:highlight w:val="none"/>
        </w:rPr>
      </w:pPr>
    </w:p>
    <w:p w14:paraId="6C722602">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1.响应文件的提交的截止时间、开标时间及提交地点</w:t>
      </w:r>
    </w:p>
    <w:p w14:paraId="11314A20">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（1）磋商截止时间：供应商须知前附表；</w:t>
      </w:r>
    </w:p>
    <w:p w14:paraId="32941008">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（2）开标时间：供应商须知前附表；</w:t>
      </w:r>
    </w:p>
    <w:p w14:paraId="0E24AD76">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（3）开标地点：东台市兴华招标代理有限公司2楼会议室（东台市东达翰林缘小区12-104号）。</w:t>
      </w:r>
    </w:p>
    <w:p w14:paraId="44394A7E">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2.响应文件有下列情形之一的，将被拒绝并退回给供应商</w:t>
      </w:r>
    </w:p>
    <w:p w14:paraId="26758836">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（1）逾期到达的，或者未发送至指定邮箱的；</w:t>
      </w:r>
    </w:p>
    <w:p w14:paraId="443B9BDA">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（2）供应商未按照磋商文件要求生成与压缩响应文件的；</w:t>
      </w:r>
    </w:p>
    <w:p w14:paraId="00713BDA">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（3）未按规定要求缴纳磋商保证金的。</w:t>
      </w:r>
    </w:p>
    <w:p w14:paraId="08EF4FDA">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3.响应文件的补充、修改或撤回</w:t>
      </w:r>
    </w:p>
    <w:p w14:paraId="3A350A97">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提交响应文件以后，在规定的截止时间之前，可以书面形式向采购人补充、修改或撤回已提交的响应文件。供应商对响应文件的补充、修改的内容为响应文件的组成部分，应按规定重新编制发送，并在邮箱发送主题上标明“补充、修改”字样。在截止时间后，供应商不得修改、补充响应文件。</w:t>
      </w:r>
    </w:p>
    <w:p w14:paraId="08A84DC7">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4.在招标采购中，出现下列情形之一，应予废标</w:t>
      </w:r>
    </w:p>
    <w:p w14:paraId="7244C55B">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(1）符合专业条件的供应商或对竞争性磋商文件作出实质性响应的供应商不足三家的（财库[2015]124号文规定的情况除外）；</w:t>
      </w:r>
    </w:p>
    <w:p w14:paraId="6C381967">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4648D77F">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(3）因重大变故，采购任务取消的；</w:t>
      </w:r>
    </w:p>
    <w:p w14:paraId="436A6DB0">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(4）磋商小组认定竞争性磋商文件存在歧义、重大缺陷导致评审工作无法进行的。</w:t>
      </w:r>
    </w:p>
    <w:p w14:paraId="5B16299B">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废标后，采购人应将废标理由通知所有供应商。</w:t>
      </w:r>
    </w:p>
    <w:p w14:paraId="4085E228">
      <w:pPr>
        <w:spacing w:line="340" w:lineRule="exact"/>
        <w:ind w:firstLine="420"/>
        <w:rPr>
          <w:rFonts w:hint="eastAsia" w:ascii="宋体" w:hAnsi="宋体" w:eastAsia="宋体" w:cs="宋体"/>
          <w:color w:val="auto"/>
          <w:sz w:val="24"/>
          <w:szCs w:val="24"/>
          <w:highlight w:val="none"/>
        </w:rPr>
      </w:pPr>
    </w:p>
    <w:p w14:paraId="736574C1">
      <w:pPr>
        <w:spacing w:line="340" w:lineRule="exact"/>
        <w:ind w:firstLine="42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（五）开标及资格审查</w:t>
      </w:r>
    </w:p>
    <w:p w14:paraId="2BE04E3D">
      <w:pPr>
        <w:spacing w:line="340" w:lineRule="exact"/>
        <w:ind w:firstLine="420"/>
        <w:rPr>
          <w:rFonts w:hint="eastAsia" w:ascii="宋体" w:hAnsi="宋体" w:eastAsia="宋体" w:cs="宋体"/>
          <w:color w:val="auto"/>
          <w:sz w:val="24"/>
          <w:szCs w:val="24"/>
          <w:highlight w:val="none"/>
        </w:rPr>
      </w:pPr>
    </w:p>
    <w:p w14:paraId="5418264C">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1.各供应商需在磋商前提前下载“腾讯会议”直播APP，加入会议，直接观看直播和在线交流。</w:t>
      </w:r>
    </w:p>
    <w:p w14:paraId="5EC89227">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2.供应商必须在响应文件截止时间后15分钟内，使用发送响应文件的邮箱将解密密码发送到指定邮箱，不接受未在规定时段内发送的密码。</w:t>
      </w:r>
    </w:p>
    <w:p w14:paraId="4BA71936">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工作人员进入指定邮箱下载各供应商的响应文件，公布供应商名称。如同一供应商在截止时间之前发送了两份或多份响应文件，则以最后发送的响应文件为准。</w:t>
      </w:r>
    </w:p>
    <w:p w14:paraId="5DA1B502">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4.开标及资格审查：</w:t>
      </w:r>
    </w:p>
    <w:p w14:paraId="49D1880E">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采购人依法组建磋商小组，对供应商进行资格审查。在进行资格审查时，将在“信用中国”网站对供应商是否被列入失信被执行人、重大税收违法案件当事人、政府采购严重失信行为记录名单情况进行查询，以确定供应商是否具备磋商资格。</w:t>
      </w:r>
    </w:p>
    <w:p w14:paraId="2E7BD4F5">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（2）宣布资格审查结果。</w:t>
      </w:r>
    </w:p>
    <w:p w14:paraId="22CA83B5">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（3）合格供应商不足3家的，不得评标（财库[2015]124号文规定的情况除外）。</w:t>
      </w:r>
    </w:p>
    <w:p w14:paraId="6B7B05F7">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5.在开标过程和资格审查中，有下列情形之一的，其响应文件无效，不进入评标程序：</w:t>
      </w:r>
    </w:p>
    <w:p w14:paraId="4B999C5B">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（1）供应商未按竞争性磋商文件规定提交磋商保证金的；</w:t>
      </w:r>
    </w:p>
    <w:p w14:paraId="3A2BEFA7">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（2）供应商不具备竞争性磋商文件规定的资格要求的；</w:t>
      </w:r>
    </w:p>
    <w:p w14:paraId="65B66C37">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（3）供应商超出营业范围磋商的；</w:t>
      </w:r>
    </w:p>
    <w:p w14:paraId="47B4E02F">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（4）响应文件未按规定要求签署、盖章的；</w:t>
      </w:r>
    </w:p>
    <w:p w14:paraId="60F53C43">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（5）磋商报价超出最高限价的；</w:t>
      </w:r>
    </w:p>
    <w:p w14:paraId="02ACFDC8">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（6）被授权人无法提供证明其为本单位正式职工的社会养老保险缴费证明的；</w:t>
      </w:r>
    </w:p>
    <w:p w14:paraId="4965A2FB">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（7）响应文件含有采购人不能接受的附加条件的；</w:t>
      </w:r>
    </w:p>
    <w:p w14:paraId="4AD7C7AA">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（8）不符合法律、法规和竞争性磋商文件中规定的其他实质性要求的。</w:t>
      </w:r>
    </w:p>
    <w:p w14:paraId="7464EB86">
      <w:pPr>
        <w:spacing w:line="340" w:lineRule="exact"/>
        <w:ind w:firstLine="420"/>
        <w:rPr>
          <w:rFonts w:hint="eastAsia" w:ascii="宋体" w:hAnsi="宋体" w:eastAsia="宋体" w:cs="宋体"/>
          <w:color w:val="auto"/>
          <w:sz w:val="24"/>
          <w:szCs w:val="24"/>
          <w:highlight w:val="none"/>
        </w:rPr>
      </w:pPr>
    </w:p>
    <w:p w14:paraId="780CFFC7">
      <w:pPr>
        <w:spacing w:line="340" w:lineRule="exact"/>
        <w:ind w:firstLine="42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（六）评  标</w:t>
      </w:r>
    </w:p>
    <w:p w14:paraId="78039179">
      <w:pPr>
        <w:spacing w:line="340" w:lineRule="exact"/>
        <w:ind w:firstLine="420"/>
        <w:rPr>
          <w:rFonts w:hint="eastAsia" w:ascii="宋体" w:hAnsi="宋体" w:eastAsia="宋体" w:cs="宋体"/>
          <w:color w:val="auto"/>
          <w:sz w:val="24"/>
          <w:szCs w:val="24"/>
          <w:highlight w:val="none"/>
        </w:rPr>
      </w:pPr>
    </w:p>
    <w:p w14:paraId="3F281118">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1.磋商事宜</w:t>
      </w:r>
    </w:p>
    <w:p w14:paraId="292D7480">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（1）磋商小组可以根据竞争性磋商文件和磋商情况实质性变动采购需求中的技术、服务要求以及合同草案条款，但不得变动竞争性磋商文件中的其他内容。实质性变动的内容，须经采购人代表确认。</w:t>
      </w:r>
    </w:p>
    <w:p w14:paraId="2513478D">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（2）对磋商文件作出的实质性变动是磋商文件的有效组成部分，磋商小组将及时同时通知所有参加谈判的供应商。</w:t>
      </w:r>
    </w:p>
    <w:p w14:paraId="440FDD2A">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（3）供应商按照竞争性磋商文件的变动情况和磋商小组的要求重新提交响应文件，并由法定代表人或被授权人签字或者加盖公章，扫描后发送到指定邮箱（指定邮箱在开标时明确）。</w:t>
      </w:r>
    </w:p>
    <w:p w14:paraId="6B2A0136">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（4）磋商文件能够详细列明采购标的的技术、服务要求的，磋商结束后，磋商小组应当要求所有实质性响应的供应商在规定时间内提交最后报价。</w:t>
      </w:r>
    </w:p>
    <w:p w14:paraId="5C8EA911">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（5）通过资格审查和符合性审查的供应商，按照主持人公布的初始时间计算15分钟内按“第二章 响应文件格式”中“最后报价表”的格式的要求提交最后报价，并由法定代表人或被授权人签字并加盖供应商单位公章，扫描后发送到指定邮箱（指定邮箱在开标时明确）。时间确认按采购人指定的邮箱中收到的邮件显示时间为准。</w:t>
      </w:r>
    </w:p>
    <w:p w14:paraId="18EF063D">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进入最后报价的供应商未按照主持人公布的初始时间计算15分钟内将最后报价扫描件发送至采购人指定的邮箱的，磋商小组将默认其最后报价与响应文件中已有的报价一致。如最后报价高于响应文件中已有的报价，则最后报价无效，将响应文件中已有的报价视为最后报价。</w:t>
      </w:r>
    </w:p>
    <w:p w14:paraId="09D7AB69">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（7）如同一供应商发送了两份或多份“最后报价表”，则以第一次发送的“最后报价表”为准。</w:t>
      </w:r>
    </w:p>
    <w:p w14:paraId="0070E102">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（8）提交最后报价的供应商不得少于3家，但市场竞争不充分的科研项目、需要扶持的科技成果转化项目以及政府购买服务项目（含政府和社会资本合作项目），提交最后报价的供应商可以为2家。</w:t>
      </w:r>
    </w:p>
    <w:p w14:paraId="713F06F3">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2.评审过程的保密</w:t>
      </w:r>
    </w:p>
    <w:p w14:paraId="0AB1E2CC">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（1）采购人、采购代理机构应当依法组织开展竞争性磋商，并采取必要措施，保证磋商在严格保密的情况下进行。</w:t>
      </w:r>
    </w:p>
    <w:p w14:paraId="67D2DC2C">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（2）在响应文件的评审和比较、成交供应商确定或成交候选人推荐以及授予合同的过程中，供应商向采购人和磋商小组施加影响的任何行为，都将会导致其响应文件被拒绝。</w:t>
      </w:r>
    </w:p>
    <w:p w14:paraId="6193225A">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（3）成交供应商确定后，采购人不对未成交供应商就评审过程以及未能成交原因作出任何解释。未成交供应商不得向磋商小组组成人员或其他有关人员索问评审过程的情况和材料。</w:t>
      </w:r>
    </w:p>
    <w:p w14:paraId="63A8A801">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3.评标程序</w:t>
      </w:r>
    </w:p>
    <w:p w14:paraId="5CBEDBA6">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性检查。由磋商小组依据磋商文件的规定对经资格审查合格的供应商的响应文件进行符合性审查，即从响应文件的有效性、完整性和对磋商文件的响应程度进行审查，以确定是否对磋商文件的实质性要求作出响应。只有通过符合性审查的响应文件才能进入下轮评审。</w:t>
      </w:r>
    </w:p>
    <w:p w14:paraId="39E652FB">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的澄清。对响应文件中含义不明确、同类问题表述不一致或者有明显文字和计算错误的内容，磋商小组可要求被委托人采用书面形式作出必要的澄清、说明或者补正。供应商的澄清、说明或者补正不得超出响应文件的范围或者改变响应文件的实质性内容，并加盖公章，或者由法定代表人或其被委托人签字。</w:t>
      </w:r>
    </w:p>
    <w:p w14:paraId="0E9F8E94">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较与评价。由磋商小组根据项目情况，决定是否就采购需求中的技术、服务要求以及合同草案条款作出实质性变动，由此决定是否需要与供应商进行磋商并允许提交最后磋商报价。经磋商确定最终采购需求和提交最后报价的供应商后，由磋商小组采用综合评分法对提交最后报价的供应商的响应文件和最后报价进行综合评分。当所有最后磋商报价均与最高限价异常接近，经磋商小组认定明显缺乏竞争时，磋商小组可以否决所有响应文件，由采购人重新组织采购。</w:t>
      </w:r>
    </w:p>
    <w:p w14:paraId="5FD86E66">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4.响应文件有下列情形之一的，视为未能对竞争性磋商文件作出实质性响应，按无效标处理</w:t>
      </w:r>
    </w:p>
    <w:p w14:paraId="07C3EF42">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（1）供应商不具备磋商文件规定的资格要求的；</w:t>
      </w:r>
    </w:p>
    <w:p w14:paraId="7BA9CE26">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（2）供应商超出营业范围的；</w:t>
      </w:r>
    </w:p>
    <w:p w14:paraId="320CBFA9">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（3）响应文件未按规定要求签署、盖章的；</w:t>
      </w:r>
    </w:p>
    <w:p w14:paraId="498851AC">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（4）磋商报价超出最高限价的；</w:t>
      </w:r>
    </w:p>
    <w:p w14:paraId="1BACE944">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（5）被委托人无法提供证明其为本单位正式职工的社会养老保险缴费证明的；</w:t>
      </w:r>
    </w:p>
    <w:p w14:paraId="2BAF0B0A">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（6）响应文件含有采购人不能接受的附加条件的；</w:t>
      </w:r>
    </w:p>
    <w:p w14:paraId="380AC15B">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（7）由被委托人参与磋商，但未随响应文件一起提交合法、有效的“授权委托书”的；</w:t>
      </w:r>
    </w:p>
    <w:p w14:paraId="00ED8738">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（8）响应文件内容不全或关键字迹模糊、无法辨认的；</w:t>
      </w:r>
    </w:p>
    <w:p w14:paraId="3D6F0C41">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（9）供应商递交两份或多份内容不同的响应文件，或在一份响应文件中对同一采购项目报有两个或多个报价，且未声明哪一个有效，按磋商文件规定提交备选方案的除外。</w:t>
      </w:r>
    </w:p>
    <w:p w14:paraId="305711A3">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（10）响应文件修改处未加盖供应商公章的；</w:t>
      </w:r>
    </w:p>
    <w:p w14:paraId="293FDF12">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（11）响应文件中服务期限、服务条款不符合磋商文件相关条款要求或技术指标要求、检验标准等低于磋商文件规定指标、要求的；</w:t>
      </w:r>
    </w:p>
    <w:p w14:paraId="59C067C2">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（12）以他人的名义磋商、串通磋商、以行贿手段谋取成交或者以其他弄虚作假行为的；</w:t>
      </w:r>
    </w:p>
    <w:p w14:paraId="503DDF56">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（13）磋商报价明显低于其他通过符合性审查供应商的报价，有可能影响产品质量或者不能诚信履约的，经磋商小组质询后不能在规定时间内说明理由或虽说明理由但磋商小组认为其理由不能成立的；</w:t>
      </w:r>
    </w:p>
    <w:p w14:paraId="39D6F4B9">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（14）不符合法律、法规和磋商文件中规定的其他实质性要求的。</w:t>
      </w:r>
    </w:p>
    <w:p w14:paraId="3C56CF3E">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5.5.废标条款</w:t>
      </w:r>
    </w:p>
    <w:p w14:paraId="06B8E88A">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（1）符合专业条件的供应商或对磋商文件作出实质性响应的供应商不足三家的（政府购买服务项目除外）；</w:t>
      </w:r>
    </w:p>
    <w:p w14:paraId="303204C2">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7AA29FB">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（3）因重大变故，采购任务取消的；</w:t>
      </w:r>
    </w:p>
    <w:p w14:paraId="4DB82010">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（4）磋商小组认定磋商文件存在歧义、重大缺陷导致评审工作无法进行的。</w:t>
      </w:r>
    </w:p>
    <w:p w14:paraId="74FD43F7">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废标后，采购人应将废标理由通知所有供应商。</w:t>
      </w:r>
    </w:p>
    <w:p w14:paraId="2E4A4830">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6.评标结果</w:t>
      </w:r>
    </w:p>
    <w:p w14:paraId="231C9BAA">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磋商小组根据评标标准，推荐成交候选供应商排序或根据采购人的委托直接确定成交供应商。</w:t>
      </w:r>
    </w:p>
    <w:p w14:paraId="0F53CB94">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磋商小组推荐的成交候选供应商应当限定在一至三名，并标明排列顺序。</w:t>
      </w:r>
    </w:p>
    <w:p w14:paraId="6AAEE064">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评标结果按评审后得分由高到低顺序排列。得分相同的，按磋商报价由低到高顺序排列。得分且磋商报价相同的并列。响应文件满足竞争性磋商文件全部实质性要求，且按照评审因素的量化指标评审得分最高的供应商为排名第一的成交候选人。</w:t>
      </w:r>
    </w:p>
    <w:p w14:paraId="38A10804">
      <w:pPr>
        <w:spacing w:line="340" w:lineRule="exact"/>
        <w:ind w:firstLine="420"/>
        <w:rPr>
          <w:rFonts w:hint="eastAsia" w:ascii="宋体" w:hAnsi="宋体" w:eastAsia="宋体" w:cs="宋体"/>
          <w:color w:val="auto"/>
          <w:sz w:val="24"/>
          <w:szCs w:val="24"/>
          <w:highlight w:val="none"/>
        </w:rPr>
      </w:pPr>
    </w:p>
    <w:p w14:paraId="5DAD55D5">
      <w:pPr>
        <w:spacing w:line="340" w:lineRule="exact"/>
        <w:ind w:firstLine="42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（七）质疑和投诉</w:t>
      </w:r>
    </w:p>
    <w:p w14:paraId="081C7425">
      <w:pPr>
        <w:spacing w:line="340" w:lineRule="exact"/>
        <w:ind w:firstLine="420"/>
        <w:rPr>
          <w:rFonts w:hint="eastAsia" w:ascii="宋体" w:hAnsi="宋体" w:eastAsia="宋体" w:cs="宋体"/>
          <w:color w:val="auto"/>
          <w:sz w:val="24"/>
          <w:szCs w:val="24"/>
          <w:highlight w:val="none"/>
        </w:rPr>
      </w:pPr>
    </w:p>
    <w:p w14:paraId="3248645D">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供应商认为竞争性磋商文件、采购过程、成交结果使自己的权益受到损害的，可以在知道或者应知其权益受到损害之日起7个工作日内，以书面形式向招标人、采购代理机构提出质疑。</w:t>
      </w:r>
    </w:p>
    <w:p w14:paraId="0AE4988F">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供应商须在法定质疑期内一次性提出针对同一采购程序环节的质疑。</w:t>
      </w:r>
    </w:p>
    <w:p w14:paraId="6973FC2B">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接收质疑函的方式：直接送达或邮寄（质疑函须按规定格式填写并签字盖章）</w:t>
      </w:r>
    </w:p>
    <w:p w14:paraId="280118CE">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联系部门：见供应商须知前附表</w:t>
      </w:r>
    </w:p>
    <w:p w14:paraId="4E28DE97">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联系电话：见供应商须知前附表</w:t>
      </w:r>
    </w:p>
    <w:p w14:paraId="3F0E21D2">
      <w:pPr>
        <w:spacing w:line="3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通讯地址：见供应商须知前附表</w:t>
      </w:r>
    </w:p>
    <w:p w14:paraId="4E0030FF">
      <w:pPr>
        <w:spacing w:line="340" w:lineRule="exact"/>
        <w:ind w:firstLine="420"/>
        <w:rPr>
          <w:rFonts w:hint="eastAsia" w:ascii="宋体" w:hAnsi="宋体" w:eastAsia="宋体" w:cs="宋体"/>
          <w:color w:val="auto"/>
          <w:sz w:val="24"/>
          <w:szCs w:val="24"/>
          <w:highlight w:val="none"/>
        </w:rPr>
      </w:pPr>
    </w:p>
    <w:p w14:paraId="0BBA8C43">
      <w:pPr>
        <w:ind w:firstLine="42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（八）定标及合同授予</w:t>
      </w:r>
    </w:p>
    <w:p w14:paraId="694CCABE">
      <w:pPr>
        <w:ind w:firstLine="420"/>
        <w:rPr>
          <w:rFonts w:hint="eastAsia" w:ascii="宋体" w:hAnsi="宋体" w:eastAsia="宋体" w:cs="宋体"/>
          <w:color w:val="auto"/>
          <w:sz w:val="24"/>
          <w:szCs w:val="24"/>
          <w:highlight w:val="none"/>
        </w:rPr>
      </w:pPr>
    </w:p>
    <w:p w14:paraId="7FA03342">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应当自收到评标报告之日起5个工作日内，在评标报告确定的成交候选人名单中按顺序确定成交人。成交候选人并列的，由采购人或者采购人委托磋商小组按照竞争性磋商文件规定的方式确定成交人；竞争性磋商文件未规定的，采取随机抽取的方式确定。</w:t>
      </w:r>
    </w:p>
    <w:p w14:paraId="0A30927C">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2.采购人或者采购代理机构应当自成交人确定之日起2个工作日内公告成交结果，同时向成交人发出成交通知书。</w:t>
      </w:r>
    </w:p>
    <w:p w14:paraId="287910EE">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3.成交通知书是合同的组成部分。</w:t>
      </w:r>
    </w:p>
    <w:p w14:paraId="4E1FCD4C">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4.成交供应商应当自收到成交通知书之日起15日内，与采购人签订合同，否则按开标后撤回磋商处理。竞争性磋商文件、成交供应商的响应文件及其澄清文件等均作为签订合同的依据。</w:t>
      </w:r>
    </w:p>
    <w:p w14:paraId="0344DEC0">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交供应商放弃成交或不按竞争性磋商文件和成交通知书规定与采购人订立合同，或者在订立合同时提出附加条件或者更改合同实质性内容的，采购人将取消成交供应商成交资格、磋商保证金不予退还，并作为不良行为予以记载。给采购人造成损失的应予以赔偿，同时承担相应的法律责任。</w:t>
      </w:r>
    </w:p>
    <w:p w14:paraId="34E09538">
      <w:pPr>
        <w:widowControl/>
        <w:spacing w:line="400" w:lineRule="exact"/>
        <w:ind w:firstLine="480" w:firstLineChars="200"/>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6.采购人应当确定排名第一的成交候选供应商为成交供应商，成交供应商因不可抗力或自身原因提出不能履行政府采购合同的，或者竞争性磋商文件规定应当提交履约保证金而在规定的期限内未能提交的，采购人可以与排位在成交供应商之后第一位的成交候选供应商签订政府采购合同，也可以重新组织招标采购。</w:t>
      </w:r>
    </w:p>
    <w:p w14:paraId="5FE4EA07">
      <w:pPr>
        <w:ind w:firstLine="420"/>
        <w:jc w:val="center"/>
        <w:outlineLvl w:val="1"/>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（九）</w:t>
      </w:r>
      <w:r>
        <w:rPr>
          <w:rFonts w:hint="eastAsia" w:ascii="宋体" w:hAnsi="宋体" w:eastAsia="宋体" w:cs="宋体"/>
          <w:color w:val="auto"/>
          <w:sz w:val="30"/>
          <w:szCs w:val="30"/>
          <w:highlight w:val="none"/>
        </w:rPr>
        <w:t>评标定标办法</w:t>
      </w:r>
    </w:p>
    <w:p w14:paraId="6B49DDF8">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本次招标采用综合评分法</w:t>
      </w:r>
    </w:p>
    <w:p w14:paraId="118767F1">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综合评分法，是指响应文件满足竞争性磋商文件全部实质性要求，且按照评审因素的量化指标评审得分最高的供应商为成交候选人的评标方法。</w:t>
      </w:r>
    </w:p>
    <w:p w14:paraId="07D0F529">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具体评标细则如下：</w:t>
      </w:r>
    </w:p>
    <w:tbl>
      <w:tblPr>
        <w:tblStyle w:val="20"/>
        <w:tblpPr w:leftFromText="180" w:rightFromText="180" w:vertAnchor="text" w:horzAnchor="page" w:tblpX="1218" w:tblpY="1"/>
        <w:tblW w:w="9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
        <w:gridCol w:w="1472"/>
        <w:gridCol w:w="6970"/>
        <w:gridCol w:w="709"/>
      </w:tblGrid>
      <w:tr w14:paraId="18F52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 w:type="dxa"/>
            <w:tcBorders>
              <w:top w:val="single" w:color="000000" w:sz="4" w:space="0"/>
              <w:left w:val="single" w:color="000000" w:sz="4" w:space="0"/>
              <w:bottom w:val="single" w:color="000000" w:sz="4" w:space="0"/>
              <w:right w:val="single" w:color="000000" w:sz="4" w:space="0"/>
            </w:tcBorders>
            <w:vAlign w:val="center"/>
          </w:tcPr>
          <w:p w14:paraId="53CF77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2"/>
                <w:szCs w:val="24"/>
                <w:lang w:bidi="zh-CN"/>
                <w14:ligatures w14:val="standardContextual"/>
              </w:rPr>
            </w:pPr>
            <w:r>
              <w:rPr>
                <w:rFonts w:hint="eastAsia" w:ascii="宋体" w:hAnsi="宋体" w:eastAsia="宋体" w:cs="宋体"/>
                <w:b/>
                <w:sz w:val="22"/>
                <w:szCs w:val="24"/>
                <w:lang w:bidi="zh-CN"/>
                <w14:ligatures w14:val="standardContextual"/>
              </w:rPr>
              <w:t>序</w:t>
            </w:r>
          </w:p>
          <w:p w14:paraId="591D29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2"/>
                <w:szCs w:val="24"/>
                <w:lang w:bidi="zh-CN"/>
                <w14:ligatures w14:val="standardContextual"/>
              </w:rPr>
            </w:pPr>
            <w:r>
              <w:rPr>
                <w:rFonts w:hint="eastAsia" w:ascii="宋体" w:hAnsi="宋体" w:eastAsia="宋体" w:cs="宋体"/>
                <w:b/>
                <w:sz w:val="22"/>
                <w:szCs w:val="24"/>
                <w:lang w:bidi="zh-CN"/>
                <w14:ligatures w14:val="standardContextual"/>
              </w:rPr>
              <w:t>号</w:t>
            </w:r>
          </w:p>
        </w:tc>
        <w:tc>
          <w:tcPr>
            <w:tcW w:w="1472" w:type="dxa"/>
            <w:tcBorders>
              <w:top w:val="single" w:color="000000" w:sz="4" w:space="0"/>
              <w:left w:val="single" w:color="000000" w:sz="4" w:space="0"/>
              <w:bottom w:val="single" w:color="000000" w:sz="4" w:space="0"/>
              <w:right w:val="single" w:color="000000" w:sz="4" w:space="0"/>
            </w:tcBorders>
            <w:vAlign w:val="center"/>
          </w:tcPr>
          <w:p w14:paraId="267FC5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2"/>
                <w:szCs w:val="24"/>
                <w:lang w:bidi="zh-CN"/>
                <w14:ligatures w14:val="standardContextual"/>
              </w:rPr>
            </w:pPr>
            <w:r>
              <w:rPr>
                <w:rFonts w:hint="eastAsia" w:ascii="宋体" w:hAnsi="宋体" w:eastAsia="宋体" w:cs="宋体"/>
                <w:b/>
                <w:sz w:val="22"/>
                <w:szCs w:val="24"/>
                <w:lang w:bidi="zh-CN"/>
                <w14:ligatures w14:val="standardContextual"/>
              </w:rPr>
              <w:t>评分因素</w:t>
            </w:r>
          </w:p>
        </w:tc>
        <w:tc>
          <w:tcPr>
            <w:tcW w:w="6970" w:type="dxa"/>
            <w:tcBorders>
              <w:top w:val="single" w:color="000000" w:sz="4" w:space="0"/>
              <w:left w:val="single" w:color="000000" w:sz="4" w:space="0"/>
              <w:bottom w:val="single" w:color="000000" w:sz="4" w:space="0"/>
              <w:right w:val="single" w:color="000000" w:sz="4" w:space="0"/>
            </w:tcBorders>
            <w:vAlign w:val="center"/>
          </w:tcPr>
          <w:p w14:paraId="0EC6DA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2"/>
                <w:szCs w:val="24"/>
                <w:lang w:bidi="zh-CN"/>
                <w14:ligatures w14:val="standardContextual"/>
              </w:rPr>
            </w:pPr>
            <w:r>
              <w:rPr>
                <w:rFonts w:hint="eastAsia" w:ascii="宋体" w:hAnsi="宋体" w:eastAsia="宋体" w:cs="宋体"/>
                <w:b/>
                <w:sz w:val="22"/>
                <w:szCs w:val="24"/>
                <w:lang w:bidi="zh-CN"/>
                <w14:ligatures w14:val="standardContextual"/>
              </w:rPr>
              <w:t>评分标准</w:t>
            </w:r>
          </w:p>
        </w:tc>
        <w:tc>
          <w:tcPr>
            <w:tcW w:w="709" w:type="dxa"/>
            <w:tcBorders>
              <w:top w:val="single" w:color="000000" w:sz="4" w:space="0"/>
              <w:left w:val="single" w:color="000000" w:sz="4" w:space="0"/>
              <w:bottom w:val="single" w:color="000000" w:sz="4" w:space="0"/>
              <w:right w:val="single" w:color="000000" w:sz="4" w:space="0"/>
            </w:tcBorders>
            <w:vAlign w:val="center"/>
          </w:tcPr>
          <w:p w14:paraId="7DCC12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2"/>
                <w:szCs w:val="24"/>
                <w:lang w:bidi="zh-CN"/>
                <w14:ligatures w14:val="standardContextual"/>
              </w:rPr>
            </w:pPr>
            <w:r>
              <w:rPr>
                <w:rFonts w:hint="eastAsia" w:ascii="宋体" w:hAnsi="宋体" w:eastAsia="宋体" w:cs="宋体"/>
                <w:b/>
                <w:sz w:val="22"/>
                <w:szCs w:val="24"/>
                <w:lang w:bidi="zh-CN"/>
                <w14:ligatures w14:val="standardContextual"/>
              </w:rPr>
              <w:t>分值</w:t>
            </w:r>
          </w:p>
        </w:tc>
      </w:tr>
      <w:tr w14:paraId="6E73C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9" w:type="dxa"/>
            <w:tcBorders>
              <w:top w:val="single" w:color="000000" w:sz="4" w:space="0"/>
              <w:left w:val="single" w:color="000000" w:sz="4" w:space="0"/>
              <w:bottom w:val="single" w:color="000000" w:sz="4" w:space="0"/>
              <w:right w:val="single" w:color="000000" w:sz="4" w:space="0"/>
            </w:tcBorders>
            <w:vAlign w:val="center"/>
          </w:tcPr>
          <w:p w14:paraId="0FD2EA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lang w:bidi="zh-CN"/>
                <w14:ligatures w14:val="standardContextual"/>
              </w:rPr>
              <w:t>1</w:t>
            </w:r>
          </w:p>
        </w:tc>
        <w:tc>
          <w:tcPr>
            <w:tcW w:w="1472" w:type="dxa"/>
            <w:tcBorders>
              <w:top w:val="single" w:color="000000" w:sz="4" w:space="0"/>
              <w:left w:val="single" w:color="000000" w:sz="4" w:space="0"/>
              <w:bottom w:val="single" w:color="000000" w:sz="4" w:space="0"/>
              <w:right w:val="single" w:color="000000" w:sz="4" w:space="0"/>
            </w:tcBorders>
            <w:vAlign w:val="center"/>
          </w:tcPr>
          <w:p w14:paraId="2977F6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lang w:bidi="zh-CN"/>
                <w14:ligatures w14:val="standardContextual"/>
              </w:rPr>
              <w:t>价格（</w:t>
            </w:r>
            <w:r>
              <w:rPr>
                <w:rFonts w:hint="eastAsia" w:ascii="宋体" w:hAnsi="宋体" w:eastAsia="宋体" w:cs="宋体"/>
                <w:sz w:val="22"/>
                <w:szCs w:val="24"/>
                <w14:ligatures w14:val="standardContextual"/>
              </w:rPr>
              <w:t>10分</w:t>
            </w:r>
            <w:r>
              <w:rPr>
                <w:rFonts w:hint="eastAsia" w:ascii="宋体" w:hAnsi="宋体" w:eastAsia="宋体" w:cs="宋体"/>
                <w:sz w:val="22"/>
                <w:szCs w:val="24"/>
                <w:lang w:bidi="zh-CN"/>
                <w14:ligatures w14:val="standardContextual"/>
              </w:rPr>
              <w:t>）</w:t>
            </w:r>
          </w:p>
        </w:tc>
        <w:tc>
          <w:tcPr>
            <w:tcW w:w="6970" w:type="dxa"/>
            <w:tcBorders>
              <w:top w:val="single" w:color="000000" w:sz="4" w:space="0"/>
              <w:left w:val="single" w:color="000000" w:sz="4" w:space="0"/>
              <w:bottom w:val="single" w:color="000000" w:sz="4" w:space="0"/>
              <w:right w:val="single" w:color="000000" w:sz="4" w:space="0"/>
            </w:tcBorders>
            <w:vAlign w:val="center"/>
          </w:tcPr>
          <w:p w14:paraId="7A3CEC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采用低价优先法计算，即满足采购文件要求且投标价格最低的投标价为评标基准价，其价格分为满分。其他供应商的价格分按照下列公式计算（小数点保留二位）：投标报价得分=(评标基准价／投标报价)×10。</w:t>
            </w:r>
          </w:p>
        </w:tc>
        <w:tc>
          <w:tcPr>
            <w:tcW w:w="709" w:type="dxa"/>
            <w:tcBorders>
              <w:top w:val="single" w:color="000000" w:sz="4" w:space="0"/>
              <w:left w:val="single" w:color="000000" w:sz="4" w:space="0"/>
              <w:bottom w:val="single" w:color="000000" w:sz="4" w:space="0"/>
              <w:right w:val="single" w:color="000000" w:sz="4" w:space="0"/>
            </w:tcBorders>
            <w:vAlign w:val="center"/>
          </w:tcPr>
          <w:p w14:paraId="0E5859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10</w:t>
            </w:r>
          </w:p>
        </w:tc>
      </w:tr>
      <w:tr w14:paraId="3B2BF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9" w:type="dxa"/>
            <w:vMerge w:val="restart"/>
            <w:tcBorders>
              <w:top w:val="single" w:color="000000" w:sz="4" w:space="0"/>
              <w:left w:val="single" w:color="000000" w:sz="4" w:space="0"/>
              <w:bottom w:val="single" w:color="000000" w:sz="4" w:space="0"/>
              <w:right w:val="single" w:color="000000" w:sz="4" w:space="0"/>
            </w:tcBorders>
            <w:vAlign w:val="center"/>
          </w:tcPr>
          <w:p w14:paraId="6A2452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lang w:bidi="zh-CN"/>
                <w14:ligatures w14:val="standardContextual"/>
              </w:rPr>
              <w:t>2</w:t>
            </w:r>
          </w:p>
        </w:tc>
        <w:tc>
          <w:tcPr>
            <w:tcW w:w="1472" w:type="dxa"/>
            <w:vMerge w:val="restart"/>
            <w:tcBorders>
              <w:top w:val="single" w:color="000000" w:sz="4" w:space="0"/>
              <w:left w:val="single" w:color="000000" w:sz="4" w:space="0"/>
              <w:bottom w:val="single" w:color="000000" w:sz="4" w:space="0"/>
              <w:right w:val="single" w:color="000000" w:sz="4" w:space="0"/>
            </w:tcBorders>
            <w:vAlign w:val="center"/>
          </w:tcPr>
          <w:p w14:paraId="7E0454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2"/>
                <w:szCs w:val="24"/>
                <w14:ligatures w14:val="standardContextual"/>
              </w:rPr>
            </w:pPr>
            <w:r>
              <w:rPr>
                <w:rFonts w:hint="eastAsia" w:ascii="宋体" w:hAnsi="宋体" w:eastAsia="宋体" w:cs="宋体"/>
                <w:sz w:val="22"/>
                <w:szCs w:val="24"/>
                <w:lang w:bidi="zh-CN"/>
                <w14:ligatures w14:val="standardContextual"/>
              </w:rPr>
              <w:t>技术服务方案（</w:t>
            </w:r>
            <w:r>
              <w:rPr>
                <w:rFonts w:hint="eastAsia" w:ascii="宋体" w:hAnsi="宋体" w:cs="宋体"/>
                <w:sz w:val="22"/>
                <w:szCs w:val="24"/>
                <w:lang w:val="en-US" w:eastAsia="zh-CN"/>
                <w14:ligatures w14:val="standardContextual"/>
              </w:rPr>
              <w:t>60</w:t>
            </w:r>
            <w:r>
              <w:rPr>
                <w:rFonts w:hint="eastAsia" w:ascii="宋体" w:hAnsi="宋体" w:eastAsia="宋体" w:cs="宋体"/>
                <w:sz w:val="22"/>
                <w:szCs w:val="24"/>
                <w14:ligatures w14:val="standardContextual"/>
              </w:rPr>
              <w:t>分</w:t>
            </w:r>
            <w:r>
              <w:rPr>
                <w:rFonts w:hint="eastAsia" w:ascii="宋体" w:hAnsi="宋体" w:eastAsia="宋体" w:cs="宋体"/>
                <w:sz w:val="22"/>
                <w:szCs w:val="24"/>
                <w:lang w:bidi="zh-CN"/>
                <w14:ligatures w14:val="standardContextual"/>
              </w:rPr>
              <w:t>）</w:t>
            </w:r>
          </w:p>
        </w:tc>
        <w:tc>
          <w:tcPr>
            <w:tcW w:w="6970" w:type="dxa"/>
            <w:tcBorders>
              <w:top w:val="single" w:color="000000" w:sz="4" w:space="0"/>
              <w:left w:val="single" w:color="000000" w:sz="4" w:space="0"/>
              <w:bottom w:val="single" w:color="000000" w:sz="4" w:space="0"/>
              <w:right w:val="single" w:color="000000" w:sz="4" w:space="0"/>
            </w:tcBorders>
            <w:vAlign w:val="center"/>
          </w:tcPr>
          <w:p w14:paraId="073CA5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r>
              <w:rPr>
                <w:rFonts w:hint="eastAsia" w:ascii="宋体" w:hAnsi="宋体" w:eastAsia="宋体" w:cs="宋体"/>
                <w:b/>
                <w:bCs/>
                <w:sz w:val="22"/>
                <w:szCs w:val="24"/>
                <w14:ligatures w14:val="standardContextual"/>
              </w:rPr>
              <w:t>规划编制方案对规划任务的理解：</w:t>
            </w:r>
          </w:p>
          <w:p w14:paraId="3CB579D7">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对编制依据、编制目的、重点难点问题等要求理解准确，提交的镇村供水规划方案内容满足本规划任务的要求得</w:t>
            </w:r>
            <w:r>
              <w:rPr>
                <w:rFonts w:hint="eastAsia" w:ascii="宋体" w:hAnsi="宋体" w:cs="宋体"/>
                <w:sz w:val="22"/>
                <w:szCs w:val="24"/>
                <w:lang w:val="en-US" w:eastAsia="zh-CN"/>
                <w14:ligatures w14:val="standardContextual"/>
              </w:rPr>
              <w:t>5</w:t>
            </w:r>
            <w:r>
              <w:rPr>
                <w:rFonts w:hint="eastAsia" w:ascii="宋体" w:hAnsi="宋体" w:eastAsia="宋体" w:cs="宋体"/>
                <w:sz w:val="22"/>
                <w:szCs w:val="24"/>
                <w14:ligatures w14:val="standardContextual"/>
              </w:rPr>
              <w:t>分；</w:t>
            </w:r>
          </w:p>
          <w:p w14:paraId="19100EA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对编制依据、编制目的、重点难点问题等要求理解比较准确，提交的镇村供水规划方案内容基本满足本规划任务的要求得</w:t>
            </w:r>
            <w:r>
              <w:rPr>
                <w:rFonts w:hint="eastAsia" w:ascii="宋体" w:hAnsi="宋体" w:cs="宋体"/>
                <w:sz w:val="22"/>
                <w:szCs w:val="24"/>
                <w:lang w:val="en-US" w:eastAsia="zh-CN"/>
                <w14:ligatures w14:val="standardContextual"/>
              </w:rPr>
              <w:t>3.5</w:t>
            </w:r>
            <w:r>
              <w:rPr>
                <w:rFonts w:hint="eastAsia" w:ascii="宋体" w:hAnsi="宋体" w:eastAsia="宋体" w:cs="宋体"/>
                <w:sz w:val="22"/>
                <w:szCs w:val="24"/>
                <w14:ligatures w14:val="standardContextual"/>
              </w:rPr>
              <w:t>分；</w:t>
            </w:r>
          </w:p>
          <w:p w14:paraId="180F5645">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对编制依据、编制目的、重点难点问题等要求理解不够准确，提交的镇村供水规划方案内容不能完全满足本规划任务的要求得</w:t>
            </w:r>
            <w:r>
              <w:rPr>
                <w:rFonts w:hint="eastAsia" w:ascii="宋体" w:hAnsi="宋体" w:cs="宋体"/>
                <w:sz w:val="22"/>
                <w:szCs w:val="24"/>
                <w:lang w:val="en-US" w:eastAsia="zh-CN"/>
                <w14:ligatures w14:val="standardContextual"/>
              </w:rPr>
              <w:t>2</w:t>
            </w:r>
            <w:r>
              <w:rPr>
                <w:rFonts w:hint="eastAsia" w:ascii="宋体" w:hAnsi="宋体" w:eastAsia="宋体" w:cs="宋体"/>
                <w:sz w:val="22"/>
                <w:szCs w:val="24"/>
                <w14:ligatures w14:val="standardContextual"/>
              </w:rPr>
              <w:t>分；</w:t>
            </w:r>
          </w:p>
          <w:p w14:paraId="1F6D45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r>
              <w:rPr>
                <w:rFonts w:hint="eastAsia" w:ascii="宋体" w:hAnsi="宋体" w:eastAsia="宋体" w:cs="宋体"/>
                <w:sz w:val="22"/>
                <w:szCs w:val="24"/>
                <w14:ligatures w14:val="standardContextual"/>
              </w:rPr>
              <w:t>4、不提供不得分。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E14B3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eastAsia="zh-CN"/>
                <w14:ligatures w14:val="standardContextual"/>
              </w:rPr>
            </w:pPr>
            <w:r>
              <w:rPr>
                <w:rFonts w:hint="eastAsia" w:ascii="宋体" w:hAnsi="宋体" w:cs="宋体"/>
                <w:sz w:val="22"/>
                <w:szCs w:val="24"/>
                <w:lang w:val="en-US" w:eastAsia="zh-CN"/>
                <w14:ligatures w14:val="standardContextual"/>
              </w:rPr>
              <w:t>5</w:t>
            </w:r>
          </w:p>
        </w:tc>
      </w:tr>
      <w:tr w14:paraId="1381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9" w:type="dxa"/>
            <w:vMerge w:val="continue"/>
            <w:tcBorders>
              <w:top w:val="single" w:color="000000" w:sz="4" w:space="0"/>
              <w:left w:val="single" w:color="000000" w:sz="4" w:space="0"/>
              <w:bottom w:val="single" w:color="000000" w:sz="4" w:space="0"/>
              <w:right w:val="single" w:color="000000" w:sz="4" w:space="0"/>
            </w:tcBorders>
            <w:vAlign w:val="center"/>
          </w:tcPr>
          <w:p w14:paraId="7D7710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p>
        </w:tc>
        <w:tc>
          <w:tcPr>
            <w:tcW w:w="1472" w:type="dxa"/>
            <w:vMerge w:val="continue"/>
            <w:tcBorders>
              <w:top w:val="single" w:color="000000" w:sz="4" w:space="0"/>
              <w:left w:val="single" w:color="000000" w:sz="4" w:space="0"/>
              <w:bottom w:val="single" w:color="000000" w:sz="4" w:space="0"/>
              <w:right w:val="single" w:color="000000" w:sz="4" w:space="0"/>
            </w:tcBorders>
            <w:vAlign w:val="center"/>
          </w:tcPr>
          <w:p w14:paraId="5BC817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4"/>
                <w:lang w:bidi="zh-CN"/>
                <w14:ligatures w14:val="standardContextual"/>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2FAB24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lang w:bidi="zh-CN"/>
              </w:rPr>
            </w:pPr>
            <w:r>
              <w:rPr>
                <w:rFonts w:hint="eastAsia" w:ascii="宋体" w:hAnsi="宋体" w:eastAsia="宋体" w:cs="宋体"/>
                <w:b/>
                <w:bCs/>
                <w:sz w:val="22"/>
                <w:szCs w:val="24"/>
                <w:lang w:bidi="zh-CN"/>
              </w:rPr>
              <w:t>规划编制方案对</w:t>
            </w:r>
            <w:r>
              <w:rPr>
                <w:rFonts w:hint="eastAsia" w:ascii="宋体" w:hAnsi="宋体" w:eastAsia="宋体" w:cs="宋体"/>
                <w:b/>
                <w:bCs/>
                <w:color w:val="EE0000"/>
                <w:sz w:val="22"/>
                <w:szCs w:val="24"/>
                <w:lang w:bidi="zh-CN"/>
              </w:rPr>
              <w:t>东台市现状</w:t>
            </w:r>
            <w:r>
              <w:rPr>
                <w:rFonts w:hint="eastAsia" w:ascii="宋体" w:hAnsi="宋体" w:eastAsia="宋体" w:cs="宋体"/>
                <w:b/>
                <w:bCs/>
                <w:sz w:val="22"/>
                <w:szCs w:val="24"/>
                <w:lang w:bidi="zh-CN"/>
              </w:rPr>
              <w:t>供水情况的分析：</w:t>
            </w:r>
          </w:p>
          <w:p w14:paraId="135E88F3">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4"/>
                <w:lang w:bidi="zh-CN"/>
              </w:rPr>
            </w:pPr>
            <w:r>
              <w:rPr>
                <w:rFonts w:hint="eastAsia" w:ascii="宋体" w:hAnsi="宋体" w:eastAsia="宋体" w:cs="宋体"/>
                <w:sz w:val="22"/>
                <w:szCs w:val="24"/>
                <w:lang w:bidi="zh-CN"/>
              </w:rPr>
              <w:t>对现状镇村供水情况、供水规划分析全面，问题分析准确，满足本规划编制需求的得10分；</w:t>
            </w:r>
          </w:p>
          <w:p w14:paraId="65C8F92A">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4"/>
                <w:lang w:bidi="zh-CN"/>
              </w:rPr>
            </w:pPr>
            <w:r>
              <w:rPr>
                <w:rFonts w:hint="eastAsia" w:ascii="宋体" w:hAnsi="宋体" w:eastAsia="宋体" w:cs="宋体"/>
                <w:sz w:val="22"/>
                <w:szCs w:val="24"/>
                <w:lang w:bidi="zh-CN"/>
              </w:rPr>
              <w:t>对现状镇村供水情况、供水规划分析比较全面，问题分析比较准确，基本满足本规划编制需求的得</w:t>
            </w:r>
            <w:r>
              <w:rPr>
                <w:rFonts w:hint="eastAsia" w:ascii="宋体" w:hAnsi="宋体" w:cs="宋体"/>
                <w:sz w:val="22"/>
                <w:szCs w:val="24"/>
                <w:lang w:val="en-US" w:bidi="zh-CN"/>
              </w:rPr>
              <w:t>7</w:t>
            </w:r>
            <w:r>
              <w:rPr>
                <w:rFonts w:hint="eastAsia" w:ascii="宋体" w:hAnsi="宋体" w:eastAsia="宋体" w:cs="宋体"/>
                <w:sz w:val="22"/>
                <w:szCs w:val="24"/>
                <w:lang w:bidi="zh-CN"/>
              </w:rPr>
              <w:t>分；</w:t>
            </w:r>
          </w:p>
          <w:p w14:paraId="67DBD6D0">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4"/>
                <w:lang w:bidi="zh-CN"/>
              </w:rPr>
            </w:pPr>
            <w:r>
              <w:rPr>
                <w:rFonts w:hint="eastAsia" w:ascii="宋体" w:hAnsi="宋体" w:eastAsia="宋体" w:cs="宋体"/>
                <w:sz w:val="22"/>
                <w:szCs w:val="24"/>
                <w:lang w:bidi="zh-CN"/>
              </w:rPr>
              <w:t>对现状镇村供水情况、供水规划分析不够全面，问题分析不够准确，不能满足本规划编制需求得的</w:t>
            </w:r>
            <w:r>
              <w:rPr>
                <w:rFonts w:hint="eastAsia" w:ascii="宋体" w:hAnsi="宋体" w:cs="宋体"/>
                <w:sz w:val="22"/>
                <w:szCs w:val="24"/>
                <w:lang w:val="en-US" w:bidi="zh-CN"/>
              </w:rPr>
              <w:t>4</w:t>
            </w:r>
            <w:r>
              <w:rPr>
                <w:rFonts w:hint="eastAsia" w:ascii="宋体" w:hAnsi="宋体" w:eastAsia="宋体" w:cs="宋体"/>
                <w:sz w:val="22"/>
                <w:szCs w:val="24"/>
                <w:lang w:bidi="zh-CN"/>
              </w:rPr>
              <w:t>分；</w:t>
            </w:r>
          </w:p>
          <w:p w14:paraId="7B8169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r>
              <w:rPr>
                <w:rFonts w:hint="eastAsia" w:ascii="宋体" w:hAnsi="宋体" w:eastAsia="宋体" w:cs="宋体"/>
                <w:sz w:val="22"/>
                <w:szCs w:val="24"/>
                <w:lang w:bidi="zh-CN"/>
              </w:rPr>
              <w:t>4、不提供不得分。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02445B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val="en-US" w:eastAsia="zh-CN"/>
                <w14:ligatures w14:val="standardContextual"/>
              </w:rPr>
            </w:pPr>
            <w:r>
              <w:rPr>
                <w:rFonts w:hint="eastAsia" w:ascii="宋体" w:hAnsi="宋体" w:eastAsia="宋体" w:cs="宋体"/>
                <w:sz w:val="22"/>
                <w:szCs w:val="24"/>
                <w:lang w:val="en-US" w:eastAsia="zh-CN"/>
                <w14:ligatures w14:val="standardContextual"/>
              </w:rPr>
              <w:t>10</w:t>
            </w:r>
          </w:p>
        </w:tc>
      </w:tr>
      <w:tr w14:paraId="7F04C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9" w:type="dxa"/>
            <w:vMerge w:val="continue"/>
            <w:tcBorders>
              <w:top w:val="single" w:color="000000" w:sz="4" w:space="0"/>
              <w:left w:val="single" w:color="000000" w:sz="4" w:space="0"/>
              <w:bottom w:val="single" w:color="000000" w:sz="4" w:space="0"/>
              <w:right w:val="single" w:color="000000" w:sz="4" w:space="0"/>
            </w:tcBorders>
            <w:vAlign w:val="center"/>
          </w:tcPr>
          <w:p w14:paraId="21ED06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p>
        </w:tc>
        <w:tc>
          <w:tcPr>
            <w:tcW w:w="1472" w:type="dxa"/>
            <w:vMerge w:val="continue"/>
            <w:tcBorders>
              <w:top w:val="single" w:color="000000" w:sz="4" w:space="0"/>
              <w:left w:val="single" w:color="000000" w:sz="4" w:space="0"/>
              <w:bottom w:val="single" w:color="000000" w:sz="4" w:space="0"/>
              <w:right w:val="single" w:color="000000" w:sz="4" w:space="0"/>
            </w:tcBorders>
            <w:vAlign w:val="center"/>
          </w:tcPr>
          <w:p w14:paraId="1D1BA5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3CB397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lang w:bidi="zh-CN"/>
              </w:rPr>
            </w:pPr>
            <w:r>
              <w:rPr>
                <w:rFonts w:hint="eastAsia" w:ascii="宋体" w:hAnsi="宋体" w:eastAsia="宋体" w:cs="宋体"/>
                <w:b/>
                <w:bCs/>
                <w:sz w:val="22"/>
                <w:szCs w:val="24"/>
                <w:lang w:bidi="zh-CN"/>
              </w:rPr>
              <w:t>规划编制方案对</w:t>
            </w:r>
            <w:r>
              <w:rPr>
                <w:rFonts w:hint="eastAsia" w:ascii="宋体" w:hAnsi="宋体" w:eastAsia="宋体" w:cs="宋体"/>
                <w:b/>
                <w:bCs/>
                <w:color w:val="EE0000"/>
                <w:sz w:val="22"/>
                <w:szCs w:val="24"/>
                <w:lang w:bidi="zh-CN"/>
              </w:rPr>
              <w:t>“十五五”</w:t>
            </w:r>
            <w:r>
              <w:rPr>
                <w:rFonts w:hint="eastAsia" w:ascii="宋体" w:hAnsi="宋体" w:eastAsia="宋体" w:cs="宋体"/>
                <w:b/>
                <w:bCs/>
                <w:sz w:val="22"/>
                <w:szCs w:val="24"/>
                <w:lang w:bidi="zh-CN"/>
              </w:rPr>
              <w:t>供水规划方案：</w:t>
            </w:r>
          </w:p>
          <w:p w14:paraId="4A1CA995">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4"/>
                <w:lang w:bidi="zh-CN"/>
              </w:rPr>
            </w:pPr>
            <w:r>
              <w:rPr>
                <w:rFonts w:hint="eastAsia" w:ascii="宋体" w:hAnsi="宋体" w:eastAsia="宋体" w:cs="宋体"/>
                <w:b/>
                <w:bCs/>
                <w:color w:val="EE0000"/>
                <w:sz w:val="22"/>
                <w:szCs w:val="24"/>
                <w:lang w:bidi="zh-CN"/>
              </w:rPr>
              <w:t>“十五五”</w:t>
            </w:r>
            <w:r>
              <w:rPr>
                <w:rFonts w:hint="eastAsia" w:ascii="宋体" w:hAnsi="宋体" w:eastAsia="宋体" w:cs="宋体"/>
                <w:sz w:val="22"/>
                <w:szCs w:val="24"/>
                <w:lang w:bidi="zh-CN"/>
              </w:rPr>
              <w:t>供水规划内容完善且合理，方案具有针对性，提出的建议合理且具有参考性的得1</w:t>
            </w:r>
            <w:r>
              <w:rPr>
                <w:rFonts w:hint="eastAsia" w:ascii="宋体" w:hAnsi="宋体" w:cs="宋体"/>
                <w:sz w:val="22"/>
                <w:szCs w:val="24"/>
                <w:lang w:val="en-US" w:bidi="zh-CN"/>
              </w:rPr>
              <w:t>5</w:t>
            </w:r>
            <w:r>
              <w:rPr>
                <w:rFonts w:hint="eastAsia" w:ascii="宋体" w:hAnsi="宋体" w:eastAsia="宋体" w:cs="宋体"/>
                <w:sz w:val="22"/>
                <w:szCs w:val="24"/>
                <w:lang w:bidi="zh-CN"/>
              </w:rPr>
              <w:t>分；</w:t>
            </w:r>
          </w:p>
          <w:p w14:paraId="5C56B32D">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4"/>
                <w:lang w:bidi="zh-CN"/>
              </w:rPr>
            </w:pPr>
            <w:r>
              <w:rPr>
                <w:rFonts w:hint="eastAsia" w:ascii="宋体" w:hAnsi="宋体" w:eastAsia="宋体" w:cs="宋体"/>
                <w:b/>
                <w:bCs/>
                <w:color w:val="EE0000"/>
                <w:sz w:val="22"/>
                <w:szCs w:val="24"/>
                <w:lang w:bidi="zh-CN"/>
              </w:rPr>
              <w:t>“十五五”</w:t>
            </w:r>
            <w:r>
              <w:rPr>
                <w:rFonts w:hint="eastAsia" w:ascii="宋体" w:hAnsi="宋体" w:eastAsia="宋体" w:cs="宋体"/>
                <w:sz w:val="22"/>
                <w:szCs w:val="24"/>
                <w:lang w:bidi="zh-CN"/>
              </w:rPr>
              <w:t>供水规划内容基本完善且合理，方案具有一定的针对性，提出的建议基本合理且具有参考性的得</w:t>
            </w:r>
            <w:r>
              <w:rPr>
                <w:rFonts w:hint="eastAsia" w:ascii="宋体" w:hAnsi="宋体" w:cs="宋体"/>
                <w:sz w:val="22"/>
                <w:szCs w:val="24"/>
                <w:lang w:val="en-US" w:bidi="zh-CN"/>
              </w:rPr>
              <w:t>10.5</w:t>
            </w:r>
            <w:r>
              <w:rPr>
                <w:rFonts w:hint="eastAsia" w:ascii="宋体" w:hAnsi="宋体" w:eastAsia="宋体" w:cs="宋体"/>
                <w:sz w:val="22"/>
                <w:szCs w:val="24"/>
                <w:lang w:bidi="zh-CN"/>
              </w:rPr>
              <w:t>分；</w:t>
            </w:r>
          </w:p>
          <w:p w14:paraId="5382CF76">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4"/>
                <w:lang w:bidi="zh-CN"/>
              </w:rPr>
            </w:pPr>
            <w:r>
              <w:rPr>
                <w:rFonts w:hint="eastAsia" w:ascii="宋体" w:hAnsi="宋体" w:eastAsia="宋体" w:cs="宋体"/>
                <w:b/>
                <w:bCs/>
                <w:color w:val="EE0000"/>
                <w:sz w:val="22"/>
                <w:szCs w:val="24"/>
                <w:lang w:bidi="zh-CN"/>
              </w:rPr>
              <w:t>“十五五”</w:t>
            </w:r>
            <w:r>
              <w:rPr>
                <w:rFonts w:hint="eastAsia" w:ascii="宋体" w:hAnsi="宋体" w:eastAsia="宋体" w:cs="宋体"/>
                <w:sz w:val="22"/>
                <w:szCs w:val="24"/>
                <w:lang w:bidi="zh-CN"/>
              </w:rPr>
              <w:t>供水规划内容不够完善与合理，方案具没有针对性，提出的建议不够合理，没有太大参考性的得</w:t>
            </w:r>
            <w:r>
              <w:rPr>
                <w:rFonts w:hint="eastAsia" w:ascii="宋体" w:hAnsi="宋体" w:cs="宋体"/>
                <w:sz w:val="22"/>
                <w:szCs w:val="24"/>
                <w:lang w:val="en-US" w:bidi="zh-CN"/>
              </w:rPr>
              <w:t>6</w:t>
            </w:r>
            <w:r>
              <w:rPr>
                <w:rFonts w:hint="eastAsia" w:ascii="宋体" w:hAnsi="宋体" w:eastAsia="宋体" w:cs="宋体"/>
                <w:sz w:val="22"/>
                <w:szCs w:val="24"/>
                <w:lang w:bidi="zh-CN"/>
              </w:rPr>
              <w:t>分；</w:t>
            </w:r>
          </w:p>
          <w:p w14:paraId="263DF400">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lang w:bidi="zh-CN"/>
              </w:rPr>
              <w:t>不提供不得分。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3076D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val="en-US" w:eastAsia="zh-CN"/>
                <w14:ligatures w14:val="standardContextual"/>
              </w:rPr>
            </w:pPr>
            <w:r>
              <w:rPr>
                <w:rFonts w:hint="eastAsia" w:ascii="宋体" w:hAnsi="宋体" w:eastAsia="宋体" w:cs="宋体"/>
                <w:sz w:val="22"/>
                <w:szCs w:val="24"/>
                <w:lang w:val="en-US" w:eastAsia="zh-CN"/>
                <w14:ligatures w14:val="standardContextual"/>
              </w:rPr>
              <w:t>1</w:t>
            </w:r>
            <w:r>
              <w:rPr>
                <w:rFonts w:hint="eastAsia" w:ascii="宋体" w:hAnsi="宋体" w:cs="宋体"/>
                <w:sz w:val="22"/>
                <w:szCs w:val="24"/>
                <w:lang w:val="en-US" w:eastAsia="zh-CN"/>
                <w14:ligatures w14:val="standardContextual"/>
              </w:rPr>
              <w:t>5</w:t>
            </w:r>
          </w:p>
        </w:tc>
      </w:tr>
      <w:tr w14:paraId="4DC39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449" w:type="dxa"/>
            <w:vMerge w:val="continue"/>
            <w:tcBorders>
              <w:top w:val="single" w:color="000000" w:sz="4" w:space="0"/>
              <w:left w:val="single" w:color="000000" w:sz="4" w:space="0"/>
              <w:bottom w:val="single" w:color="000000" w:sz="4" w:space="0"/>
              <w:right w:val="single" w:color="000000" w:sz="4" w:space="0"/>
            </w:tcBorders>
            <w:vAlign w:val="center"/>
          </w:tcPr>
          <w:p w14:paraId="7641A5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p>
        </w:tc>
        <w:tc>
          <w:tcPr>
            <w:tcW w:w="1472" w:type="dxa"/>
            <w:vMerge w:val="continue"/>
            <w:tcBorders>
              <w:top w:val="single" w:color="000000" w:sz="4" w:space="0"/>
              <w:left w:val="single" w:color="000000" w:sz="4" w:space="0"/>
              <w:bottom w:val="single" w:color="000000" w:sz="4" w:space="0"/>
              <w:right w:val="single" w:color="000000" w:sz="4" w:space="0"/>
            </w:tcBorders>
            <w:vAlign w:val="center"/>
          </w:tcPr>
          <w:p w14:paraId="4F6B76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68BBAD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r>
              <w:rPr>
                <w:rFonts w:hint="eastAsia" w:ascii="宋体" w:hAnsi="宋体" w:eastAsia="宋体" w:cs="宋体"/>
                <w:b/>
                <w:bCs/>
                <w:sz w:val="22"/>
                <w:szCs w:val="24"/>
                <w14:ligatures w14:val="standardContextual"/>
              </w:rPr>
              <w:t>规划编制方案对规划技术路线与方法的制定：</w:t>
            </w:r>
          </w:p>
          <w:p w14:paraId="030DA09F">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针对本规划制定技术路线与方法，提出的技术路线清晰全面、技术方法可行的得</w:t>
            </w:r>
            <w:r>
              <w:rPr>
                <w:rFonts w:hint="eastAsia" w:ascii="宋体" w:hAnsi="宋体" w:cs="宋体"/>
                <w:sz w:val="22"/>
                <w:szCs w:val="24"/>
                <w:lang w:val="en-US" w:eastAsia="zh-CN"/>
                <w14:ligatures w14:val="standardContextual"/>
              </w:rPr>
              <w:t>5</w:t>
            </w:r>
            <w:r>
              <w:rPr>
                <w:rFonts w:hint="eastAsia" w:ascii="宋体" w:hAnsi="宋体" w:eastAsia="宋体" w:cs="宋体"/>
                <w:sz w:val="22"/>
                <w:szCs w:val="24"/>
                <w14:ligatures w14:val="standardContextual"/>
              </w:rPr>
              <w:t>分；</w:t>
            </w:r>
          </w:p>
          <w:p w14:paraId="3CD7969B">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14:ligatures w14:val="standardContextual"/>
              </w:rPr>
              <w:t>提出的技术路线基本全面、技术方法基本可行的得</w:t>
            </w:r>
            <w:r>
              <w:rPr>
                <w:rFonts w:hint="eastAsia" w:ascii="宋体" w:hAnsi="宋体" w:cs="宋体"/>
                <w:sz w:val="22"/>
                <w:szCs w:val="24"/>
                <w:lang w:val="en-US" w:eastAsia="zh-CN"/>
                <w14:ligatures w14:val="standardContextual"/>
              </w:rPr>
              <w:t>3.5</w:t>
            </w:r>
            <w:r>
              <w:rPr>
                <w:rFonts w:hint="eastAsia" w:ascii="宋体" w:hAnsi="宋体" w:eastAsia="宋体" w:cs="宋体"/>
                <w:sz w:val="22"/>
                <w:szCs w:val="24"/>
                <w14:ligatures w14:val="standardContextual"/>
              </w:rPr>
              <w:t>分；</w:t>
            </w:r>
          </w:p>
          <w:p w14:paraId="35B97D8C">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14:ligatures w14:val="standardContextual"/>
              </w:rPr>
              <w:t>提出的技术路线不全面、技术方法不可行的得</w:t>
            </w:r>
            <w:r>
              <w:rPr>
                <w:rFonts w:hint="eastAsia" w:ascii="宋体" w:hAnsi="宋体" w:cs="宋体"/>
                <w:sz w:val="22"/>
                <w:szCs w:val="24"/>
                <w:lang w:val="en-US" w:eastAsia="zh-CN"/>
                <w14:ligatures w14:val="standardContextual"/>
              </w:rPr>
              <w:t>2</w:t>
            </w:r>
            <w:r>
              <w:rPr>
                <w:rFonts w:hint="eastAsia" w:ascii="宋体" w:hAnsi="宋体" w:eastAsia="宋体" w:cs="宋体"/>
                <w:sz w:val="22"/>
                <w:szCs w:val="24"/>
                <w14:ligatures w14:val="standardContextual"/>
              </w:rPr>
              <w:t>分；</w:t>
            </w:r>
          </w:p>
          <w:p w14:paraId="2812280C">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14:ligatures w14:val="standardContextual"/>
              </w:rPr>
              <w:t>不提供不得分。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5B9713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val="en-US" w:eastAsia="zh-CN"/>
                <w14:ligatures w14:val="standardContextual"/>
              </w:rPr>
            </w:pPr>
            <w:r>
              <w:rPr>
                <w:rFonts w:hint="eastAsia" w:ascii="宋体" w:hAnsi="宋体" w:cs="宋体"/>
                <w:sz w:val="22"/>
                <w:szCs w:val="24"/>
                <w:lang w:val="en-US" w:eastAsia="zh-CN"/>
                <w14:ligatures w14:val="standardContextual"/>
              </w:rPr>
              <w:t>5</w:t>
            </w:r>
          </w:p>
        </w:tc>
      </w:tr>
      <w:tr w14:paraId="57AFF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trPr>
        <w:tc>
          <w:tcPr>
            <w:tcW w:w="449" w:type="dxa"/>
            <w:vMerge w:val="continue"/>
            <w:tcBorders>
              <w:top w:val="single" w:color="000000" w:sz="4" w:space="0"/>
              <w:left w:val="single" w:color="000000" w:sz="4" w:space="0"/>
              <w:bottom w:val="single" w:color="000000" w:sz="4" w:space="0"/>
              <w:right w:val="single" w:color="000000" w:sz="4" w:space="0"/>
            </w:tcBorders>
            <w:vAlign w:val="center"/>
          </w:tcPr>
          <w:p w14:paraId="641EB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p>
        </w:tc>
        <w:tc>
          <w:tcPr>
            <w:tcW w:w="1472" w:type="dxa"/>
            <w:vMerge w:val="continue"/>
            <w:tcBorders>
              <w:top w:val="single" w:color="000000" w:sz="4" w:space="0"/>
              <w:left w:val="single" w:color="000000" w:sz="4" w:space="0"/>
              <w:bottom w:val="single" w:color="000000" w:sz="4" w:space="0"/>
              <w:right w:val="single" w:color="000000" w:sz="4" w:space="0"/>
            </w:tcBorders>
            <w:vAlign w:val="center"/>
          </w:tcPr>
          <w:p w14:paraId="0A5891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02C6FF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r>
              <w:rPr>
                <w:rFonts w:hint="eastAsia" w:ascii="宋体" w:hAnsi="宋体" w:eastAsia="宋体" w:cs="宋体"/>
                <w:b/>
                <w:bCs/>
                <w:sz w:val="22"/>
                <w:szCs w:val="24"/>
                <w14:ligatures w14:val="standardContextual"/>
              </w:rPr>
              <w:t>规划编制方案针对本规划提出的重要举措：</w:t>
            </w:r>
          </w:p>
          <w:p w14:paraId="274E9217">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针对本规划提出的重要举措切实可行的得5分；</w:t>
            </w:r>
          </w:p>
          <w:p w14:paraId="0C474352">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14:ligatures w14:val="standardContextual"/>
              </w:rPr>
              <w:t>针对本规划提出的重要举措基本可行的得3</w:t>
            </w:r>
            <w:r>
              <w:rPr>
                <w:rFonts w:hint="eastAsia" w:ascii="宋体" w:hAnsi="宋体" w:cs="宋体"/>
                <w:sz w:val="22"/>
                <w:szCs w:val="24"/>
                <w:lang w:val="en-US" w:eastAsia="zh-CN"/>
                <w14:ligatures w14:val="standardContextual"/>
              </w:rPr>
              <w:t>.5</w:t>
            </w:r>
            <w:r>
              <w:rPr>
                <w:rFonts w:hint="eastAsia" w:ascii="宋体" w:hAnsi="宋体" w:eastAsia="宋体" w:cs="宋体"/>
                <w:sz w:val="22"/>
                <w:szCs w:val="24"/>
                <w14:ligatures w14:val="standardContextual"/>
              </w:rPr>
              <w:t>分；</w:t>
            </w:r>
          </w:p>
          <w:p w14:paraId="24EE456E">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14:ligatures w14:val="standardContextual"/>
              </w:rPr>
              <w:t>针对本规划提出的重要举措不可行的得</w:t>
            </w:r>
            <w:r>
              <w:rPr>
                <w:rFonts w:hint="eastAsia" w:ascii="宋体" w:hAnsi="宋体" w:cs="宋体"/>
                <w:sz w:val="22"/>
                <w:szCs w:val="24"/>
                <w:lang w:val="en-US" w:eastAsia="zh-CN"/>
                <w14:ligatures w14:val="standardContextual"/>
              </w:rPr>
              <w:t>2</w:t>
            </w:r>
            <w:r>
              <w:rPr>
                <w:rFonts w:hint="eastAsia" w:ascii="宋体" w:hAnsi="宋体" w:eastAsia="宋体" w:cs="宋体"/>
                <w:sz w:val="22"/>
                <w:szCs w:val="24"/>
                <w14:ligatures w14:val="standardContextual"/>
              </w:rPr>
              <w:t>分；</w:t>
            </w:r>
          </w:p>
          <w:p w14:paraId="63EA5FFB">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14:ligatures w14:val="standardContextual"/>
              </w:rPr>
              <w:t>不提供不得分。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17103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5</w:t>
            </w:r>
          </w:p>
        </w:tc>
      </w:tr>
      <w:tr w14:paraId="4B855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trPr>
        <w:tc>
          <w:tcPr>
            <w:tcW w:w="449" w:type="dxa"/>
            <w:vMerge w:val="continue"/>
            <w:tcBorders>
              <w:top w:val="single" w:color="000000" w:sz="4" w:space="0"/>
              <w:left w:val="single" w:color="000000" w:sz="4" w:space="0"/>
              <w:bottom w:val="single" w:color="000000" w:sz="4" w:space="0"/>
              <w:right w:val="single" w:color="000000" w:sz="4" w:space="0"/>
            </w:tcBorders>
            <w:vAlign w:val="center"/>
          </w:tcPr>
          <w:p w14:paraId="689F2C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p>
        </w:tc>
        <w:tc>
          <w:tcPr>
            <w:tcW w:w="1472" w:type="dxa"/>
            <w:vMerge w:val="continue"/>
            <w:tcBorders>
              <w:top w:val="single" w:color="000000" w:sz="4" w:space="0"/>
              <w:left w:val="single" w:color="000000" w:sz="4" w:space="0"/>
              <w:bottom w:val="single" w:color="000000" w:sz="4" w:space="0"/>
              <w:right w:val="single" w:color="000000" w:sz="4" w:space="0"/>
            </w:tcBorders>
            <w:vAlign w:val="center"/>
          </w:tcPr>
          <w:p w14:paraId="3D69E0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725A9B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r>
              <w:rPr>
                <w:rFonts w:hint="eastAsia" w:ascii="宋体" w:hAnsi="宋体" w:eastAsia="宋体" w:cs="宋体"/>
                <w:b/>
                <w:bCs/>
                <w:sz w:val="22"/>
                <w:szCs w:val="24"/>
                <w14:ligatures w14:val="standardContextual"/>
              </w:rPr>
              <w:t>规划编制方案编制深度评估：</w:t>
            </w:r>
          </w:p>
          <w:p w14:paraId="190C3C5E">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规划方案章节内容全面、深度符合相关规划编制深度规定的得5分；</w:t>
            </w:r>
          </w:p>
          <w:p w14:paraId="0574A4EA">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规划方案章节内容基本全面、深度基本符合相关规划编制深度规定的得3</w:t>
            </w:r>
            <w:r>
              <w:rPr>
                <w:rFonts w:hint="eastAsia" w:ascii="宋体" w:hAnsi="宋体" w:cs="宋体"/>
                <w:sz w:val="22"/>
                <w:szCs w:val="24"/>
                <w:lang w:val="en-US" w:eastAsia="zh-CN"/>
                <w14:ligatures w14:val="standardContextual"/>
              </w:rPr>
              <w:t>.5</w:t>
            </w:r>
            <w:r>
              <w:rPr>
                <w:rFonts w:hint="eastAsia" w:ascii="宋体" w:hAnsi="宋体" w:eastAsia="宋体" w:cs="宋体"/>
                <w:sz w:val="22"/>
                <w:szCs w:val="24"/>
                <w14:ligatures w14:val="standardContextual"/>
              </w:rPr>
              <w:t>分；</w:t>
            </w:r>
          </w:p>
          <w:p w14:paraId="66E7526A">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规划方案章节内容不够全面、深度不符合相关规划编制深度规定的得</w:t>
            </w:r>
            <w:r>
              <w:rPr>
                <w:rFonts w:hint="eastAsia" w:ascii="宋体" w:hAnsi="宋体" w:cs="宋体"/>
                <w:sz w:val="22"/>
                <w:szCs w:val="24"/>
                <w:lang w:val="en-US" w:eastAsia="zh-CN"/>
                <w14:ligatures w14:val="standardContextual"/>
              </w:rPr>
              <w:t>2</w:t>
            </w:r>
            <w:r>
              <w:rPr>
                <w:rFonts w:hint="eastAsia" w:ascii="宋体" w:hAnsi="宋体" w:eastAsia="宋体" w:cs="宋体"/>
                <w:sz w:val="22"/>
                <w:szCs w:val="24"/>
                <w14:ligatures w14:val="standardContextual"/>
              </w:rPr>
              <w:t>分；</w:t>
            </w:r>
          </w:p>
          <w:p w14:paraId="21C985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r>
              <w:rPr>
                <w:rFonts w:hint="eastAsia" w:ascii="宋体" w:hAnsi="宋体" w:eastAsia="宋体" w:cs="宋体"/>
                <w:sz w:val="22"/>
                <w:szCs w:val="24"/>
                <w14:ligatures w14:val="standardContextual"/>
              </w:rPr>
              <w:t>不提供不得分。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4B09A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5</w:t>
            </w:r>
          </w:p>
        </w:tc>
      </w:tr>
      <w:tr w14:paraId="555A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449" w:type="dxa"/>
            <w:vMerge w:val="continue"/>
            <w:tcBorders>
              <w:top w:val="single" w:color="000000" w:sz="4" w:space="0"/>
              <w:left w:val="single" w:color="000000" w:sz="4" w:space="0"/>
              <w:bottom w:val="single" w:color="000000" w:sz="4" w:space="0"/>
              <w:right w:val="single" w:color="000000" w:sz="4" w:space="0"/>
            </w:tcBorders>
            <w:vAlign w:val="center"/>
          </w:tcPr>
          <w:p w14:paraId="14E7E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p>
        </w:tc>
        <w:tc>
          <w:tcPr>
            <w:tcW w:w="1472" w:type="dxa"/>
            <w:vMerge w:val="continue"/>
            <w:tcBorders>
              <w:top w:val="single" w:color="000000" w:sz="4" w:space="0"/>
              <w:left w:val="single" w:color="000000" w:sz="4" w:space="0"/>
              <w:bottom w:val="single" w:color="000000" w:sz="4" w:space="0"/>
              <w:right w:val="single" w:color="000000" w:sz="4" w:space="0"/>
            </w:tcBorders>
            <w:vAlign w:val="center"/>
          </w:tcPr>
          <w:p w14:paraId="1F0228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30D7E4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r>
              <w:rPr>
                <w:rFonts w:hint="eastAsia" w:ascii="宋体" w:hAnsi="宋体" w:eastAsia="宋体" w:cs="宋体"/>
                <w:b/>
                <w:bCs/>
                <w:sz w:val="22"/>
                <w:szCs w:val="24"/>
                <w14:ligatures w14:val="standardContextual"/>
              </w:rPr>
              <w:t>规划编制方案质量保证措施：</w:t>
            </w:r>
          </w:p>
          <w:p w14:paraId="655E54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2"/>
                <w:szCs w:val="24"/>
                <w14:ligatures w14:val="standardContextual"/>
              </w:rPr>
            </w:pPr>
            <w:r>
              <w:rPr>
                <w:rFonts w:hint="eastAsia" w:ascii="宋体" w:hAnsi="宋体" w:eastAsia="宋体" w:cs="宋体"/>
                <w:kern w:val="2"/>
                <w:sz w:val="22"/>
                <w:szCs w:val="24"/>
                <w:lang w:val="en-US" w:eastAsia="zh-CN" w:bidi="ar-SA"/>
                <w14:ligatures w14:val="standardContextual"/>
              </w:rPr>
              <w:t>1、</w:t>
            </w:r>
            <w:r>
              <w:rPr>
                <w:rFonts w:hint="eastAsia" w:ascii="宋体" w:hAnsi="宋体" w:eastAsia="宋体" w:cs="宋体"/>
                <w:sz w:val="22"/>
                <w:szCs w:val="24"/>
                <w14:ligatures w14:val="standardContextual"/>
              </w:rPr>
              <w:t>质量控制措施详尽合理可行，能保证较好完成任务的得5分；</w:t>
            </w:r>
          </w:p>
          <w:p w14:paraId="6ED167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2"/>
                <w:szCs w:val="24"/>
                <w14:ligatures w14:val="standardContextual"/>
              </w:rPr>
            </w:pPr>
            <w:r>
              <w:rPr>
                <w:rFonts w:hint="eastAsia" w:ascii="宋体" w:hAnsi="宋体" w:eastAsia="宋体" w:cs="宋体"/>
                <w:kern w:val="2"/>
                <w:sz w:val="22"/>
                <w:szCs w:val="24"/>
                <w:lang w:val="en-US" w:eastAsia="zh-CN" w:bidi="ar-SA"/>
                <w14:ligatures w14:val="standardContextual"/>
              </w:rPr>
              <w:t>2、</w:t>
            </w:r>
            <w:r>
              <w:rPr>
                <w:rFonts w:hint="eastAsia" w:ascii="宋体" w:hAnsi="宋体" w:eastAsia="宋体" w:cs="宋体"/>
                <w:sz w:val="22"/>
                <w:szCs w:val="24"/>
                <w14:ligatures w14:val="standardContextual"/>
              </w:rPr>
              <w:t>质量控制措施基本详尽基本合理可行，能保证基本完成任务得的3</w:t>
            </w:r>
            <w:r>
              <w:rPr>
                <w:rFonts w:hint="eastAsia" w:ascii="宋体" w:hAnsi="宋体" w:cs="宋体"/>
                <w:sz w:val="22"/>
                <w:szCs w:val="24"/>
                <w:lang w:val="en-US" w:eastAsia="zh-CN"/>
                <w14:ligatures w14:val="standardContextual"/>
              </w:rPr>
              <w:t>.5</w:t>
            </w:r>
            <w:r>
              <w:rPr>
                <w:rFonts w:hint="eastAsia" w:ascii="宋体" w:hAnsi="宋体" w:eastAsia="宋体" w:cs="宋体"/>
                <w:sz w:val="22"/>
                <w:szCs w:val="24"/>
                <w14:ligatures w14:val="standardContextual"/>
              </w:rPr>
              <w:t>分；</w:t>
            </w:r>
          </w:p>
          <w:p w14:paraId="7271B3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2"/>
                <w:szCs w:val="24"/>
                <w14:ligatures w14:val="standardContextual"/>
              </w:rPr>
            </w:pPr>
            <w:r>
              <w:rPr>
                <w:rFonts w:hint="eastAsia" w:ascii="宋体" w:hAnsi="宋体" w:eastAsia="宋体" w:cs="宋体"/>
                <w:kern w:val="2"/>
                <w:sz w:val="22"/>
                <w:szCs w:val="24"/>
                <w:lang w:val="en-US" w:eastAsia="zh-CN" w:bidi="ar-SA"/>
                <w14:ligatures w14:val="standardContextual"/>
              </w:rPr>
              <w:t>3、</w:t>
            </w:r>
            <w:r>
              <w:rPr>
                <w:rFonts w:hint="eastAsia" w:ascii="宋体" w:hAnsi="宋体" w:eastAsia="宋体" w:cs="宋体"/>
                <w:sz w:val="22"/>
                <w:szCs w:val="24"/>
                <w14:ligatures w14:val="standardContextual"/>
              </w:rPr>
              <w:t>质量控制措施不够详尽不够合理可行，不能保证完成任务得的</w:t>
            </w:r>
            <w:r>
              <w:rPr>
                <w:rFonts w:hint="eastAsia" w:ascii="宋体" w:hAnsi="宋体" w:cs="宋体"/>
                <w:sz w:val="22"/>
                <w:szCs w:val="24"/>
                <w:lang w:val="en-US" w:eastAsia="zh-CN"/>
                <w14:ligatures w14:val="standardContextual"/>
              </w:rPr>
              <w:t>2</w:t>
            </w:r>
            <w:r>
              <w:rPr>
                <w:rFonts w:hint="eastAsia" w:ascii="宋体" w:hAnsi="宋体" w:eastAsia="宋体" w:cs="宋体"/>
                <w:sz w:val="22"/>
                <w:szCs w:val="24"/>
                <w14:ligatures w14:val="standardContextual"/>
              </w:rPr>
              <w:t>分；</w:t>
            </w:r>
          </w:p>
          <w:p w14:paraId="0F098F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2"/>
                <w:szCs w:val="24"/>
                <w14:ligatures w14:val="standardContextual"/>
              </w:rPr>
            </w:pPr>
            <w:r>
              <w:rPr>
                <w:rFonts w:hint="eastAsia" w:ascii="宋体" w:hAnsi="宋体" w:eastAsia="宋体" w:cs="宋体"/>
                <w:kern w:val="2"/>
                <w:sz w:val="22"/>
                <w:szCs w:val="24"/>
                <w:lang w:val="en-US" w:eastAsia="zh-CN" w:bidi="ar-SA"/>
                <w14:ligatures w14:val="standardContextual"/>
              </w:rPr>
              <w:t>4、</w:t>
            </w:r>
            <w:r>
              <w:rPr>
                <w:rFonts w:hint="eastAsia" w:ascii="宋体" w:hAnsi="宋体" w:eastAsia="宋体" w:cs="宋体"/>
                <w:sz w:val="22"/>
                <w:szCs w:val="24"/>
                <w14:ligatures w14:val="standardContextual"/>
              </w:rPr>
              <w:t>不提供不得分。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CD368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14:ligatures w14:val="standardContextual"/>
              </w:rPr>
              <w:t>5</w:t>
            </w:r>
          </w:p>
        </w:tc>
      </w:tr>
      <w:tr w14:paraId="4D8FF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449" w:type="dxa"/>
            <w:vMerge w:val="continue"/>
            <w:tcBorders>
              <w:top w:val="single" w:color="000000" w:sz="4" w:space="0"/>
              <w:left w:val="single" w:color="000000" w:sz="4" w:space="0"/>
              <w:bottom w:val="single" w:color="000000" w:sz="4" w:space="0"/>
              <w:right w:val="single" w:color="000000" w:sz="4" w:space="0"/>
            </w:tcBorders>
            <w:vAlign w:val="center"/>
          </w:tcPr>
          <w:p w14:paraId="550780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p>
        </w:tc>
        <w:tc>
          <w:tcPr>
            <w:tcW w:w="1472" w:type="dxa"/>
            <w:tcBorders>
              <w:top w:val="single" w:color="000000" w:sz="4" w:space="0"/>
              <w:left w:val="single" w:color="000000" w:sz="4" w:space="0"/>
              <w:bottom w:val="single" w:color="000000" w:sz="4" w:space="0"/>
              <w:right w:val="single" w:color="000000" w:sz="4" w:space="0"/>
            </w:tcBorders>
            <w:vAlign w:val="center"/>
          </w:tcPr>
          <w:p w14:paraId="260069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43BBA5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2"/>
                <w:szCs w:val="24"/>
                <w14:ligatures w14:val="standardContextual"/>
              </w:rPr>
            </w:pPr>
            <w:r>
              <w:rPr>
                <w:rFonts w:hint="eastAsia" w:ascii="宋体" w:hAnsi="宋体" w:eastAsia="宋体" w:cs="宋体"/>
                <w:b/>
                <w:bCs/>
                <w:sz w:val="22"/>
                <w:szCs w:val="24"/>
                <w14:ligatures w14:val="standardContextual"/>
              </w:rPr>
              <w:t>规划编制方案进度保证措施：</w:t>
            </w:r>
          </w:p>
          <w:p w14:paraId="1EDC42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2"/>
                <w:szCs w:val="24"/>
                <w14:ligatures w14:val="standardContextual"/>
              </w:rPr>
            </w:pPr>
            <w:r>
              <w:rPr>
                <w:rFonts w:hint="eastAsia" w:ascii="宋体" w:hAnsi="宋体" w:eastAsia="宋体" w:cs="宋体"/>
                <w:kern w:val="2"/>
                <w:sz w:val="22"/>
                <w:szCs w:val="24"/>
                <w:lang w:val="en-US" w:eastAsia="zh-CN" w:bidi="ar-SA"/>
                <w14:ligatures w14:val="standardContextual"/>
              </w:rPr>
              <w:t>1、</w:t>
            </w:r>
            <w:r>
              <w:rPr>
                <w:rFonts w:hint="eastAsia" w:ascii="宋体" w:hAnsi="宋体" w:eastAsia="宋体" w:cs="宋体"/>
                <w:sz w:val="22"/>
                <w:szCs w:val="24"/>
                <w14:ligatures w14:val="standardContextual"/>
              </w:rPr>
              <w:t>进度计划安排合理可行，控制措施详尽，能保证较好完成任务的得5分；</w:t>
            </w:r>
          </w:p>
          <w:p w14:paraId="694AFD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2"/>
                <w:szCs w:val="24"/>
                <w14:ligatures w14:val="standardContextual"/>
              </w:rPr>
            </w:pPr>
            <w:r>
              <w:rPr>
                <w:rFonts w:hint="eastAsia" w:ascii="宋体" w:hAnsi="宋体" w:eastAsia="宋体" w:cs="宋体"/>
                <w:kern w:val="2"/>
                <w:sz w:val="22"/>
                <w:szCs w:val="24"/>
                <w:lang w:val="en-US" w:eastAsia="zh-CN" w:bidi="ar-SA"/>
                <w14:ligatures w14:val="standardContextual"/>
              </w:rPr>
              <w:t>2、</w:t>
            </w:r>
            <w:r>
              <w:rPr>
                <w:rFonts w:hint="eastAsia" w:ascii="宋体" w:hAnsi="宋体" w:eastAsia="宋体" w:cs="宋体"/>
                <w:sz w:val="22"/>
                <w:szCs w:val="24"/>
                <w14:ligatures w14:val="standardContextual"/>
              </w:rPr>
              <w:t>进度计划安排基本合理可行，控制措施基本详尽，能保证基本完成任务得的3</w:t>
            </w:r>
            <w:r>
              <w:rPr>
                <w:rFonts w:hint="eastAsia" w:ascii="宋体" w:hAnsi="宋体" w:cs="宋体"/>
                <w:sz w:val="22"/>
                <w:szCs w:val="24"/>
                <w:lang w:val="en-US" w:eastAsia="zh-CN"/>
                <w14:ligatures w14:val="standardContextual"/>
              </w:rPr>
              <w:t>.5</w:t>
            </w:r>
            <w:r>
              <w:rPr>
                <w:rFonts w:hint="eastAsia" w:ascii="宋体" w:hAnsi="宋体" w:eastAsia="宋体" w:cs="宋体"/>
                <w:sz w:val="22"/>
                <w:szCs w:val="24"/>
                <w14:ligatures w14:val="standardContextual"/>
              </w:rPr>
              <w:t>分；</w:t>
            </w:r>
          </w:p>
          <w:p w14:paraId="38476B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2"/>
                <w:szCs w:val="24"/>
                <w14:ligatures w14:val="standardContextual"/>
              </w:rPr>
            </w:pPr>
            <w:r>
              <w:rPr>
                <w:rFonts w:hint="eastAsia" w:ascii="宋体" w:hAnsi="宋体" w:eastAsia="宋体" w:cs="宋体"/>
                <w:kern w:val="2"/>
                <w:sz w:val="22"/>
                <w:szCs w:val="24"/>
                <w:lang w:val="en-US" w:eastAsia="zh-CN" w:bidi="ar-SA"/>
                <w14:ligatures w14:val="standardContextual"/>
              </w:rPr>
              <w:t>3、</w:t>
            </w:r>
            <w:r>
              <w:rPr>
                <w:rFonts w:hint="eastAsia" w:ascii="宋体" w:hAnsi="宋体" w:eastAsia="宋体" w:cs="宋体"/>
                <w:sz w:val="22"/>
                <w:szCs w:val="24"/>
                <w14:ligatures w14:val="standardContextual"/>
              </w:rPr>
              <w:t>进度计划安排不够合理可行，控制措施不够详尽，不能保证完成任务得的</w:t>
            </w:r>
            <w:r>
              <w:rPr>
                <w:rFonts w:hint="eastAsia" w:ascii="宋体" w:hAnsi="宋体" w:cs="宋体"/>
                <w:sz w:val="22"/>
                <w:szCs w:val="24"/>
                <w:lang w:val="en-US" w:eastAsia="zh-CN"/>
                <w14:ligatures w14:val="standardContextual"/>
              </w:rPr>
              <w:t>2</w:t>
            </w:r>
            <w:r>
              <w:rPr>
                <w:rFonts w:hint="eastAsia" w:ascii="宋体" w:hAnsi="宋体" w:eastAsia="宋体" w:cs="宋体"/>
                <w:sz w:val="22"/>
                <w:szCs w:val="24"/>
                <w14:ligatures w14:val="standardContextual"/>
              </w:rPr>
              <w:t>分；</w:t>
            </w:r>
          </w:p>
          <w:p w14:paraId="391EEA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sz w:val="22"/>
                <w:szCs w:val="24"/>
                <w14:ligatures w14:val="standardContextual"/>
              </w:rPr>
            </w:pPr>
            <w:r>
              <w:rPr>
                <w:rFonts w:hint="eastAsia" w:ascii="宋体" w:hAnsi="宋体" w:eastAsia="宋体" w:cs="宋体"/>
                <w:kern w:val="2"/>
                <w:sz w:val="22"/>
                <w:szCs w:val="24"/>
                <w:lang w:val="en-US" w:eastAsia="zh-CN" w:bidi="ar-SA"/>
                <w14:ligatures w14:val="standardContextual"/>
              </w:rPr>
              <w:t>4、</w:t>
            </w:r>
            <w:r>
              <w:rPr>
                <w:rFonts w:hint="eastAsia" w:ascii="宋体" w:hAnsi="宋体" w:eastAsia="宋体" w:cs="宋体"/>
                <w:sz w:val="22"/>
                <w:szCs w:val="24"/>
                <w14:ligatures w14:val="standardContextual"/>
              </w:rPr>
              <w:t>不提供不得分。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54BC88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val="en-US" w:eastAsia="zh-CN"/>
                <w14:ligatures w14:val="standardContextual"/>
              </w:rPr>
            </w:pPr>
            <w:r>
              <w:rPr>
                <w:rFonts w:hint="eastAsia" w:ascii="宋体" w:hAnsi="宋体" w:cs="宋体"/>
                <w:sz w:val="22"/>
                <w:szCs w:val="24"/>
                <w:lang w:val="en-US" w:eastAsia="zh-CN"/>
                <w14:ligatures w14:val="standardContextual"/>
              </w:rPr>
              <w:t>5</w:t>
            </w:r>
          </w:p>
        </w:tc>
      </w:tr>
      <w:tr w14:paraId="652BF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449" w:type="dxa"/>
            <w:vMerge w:val="continue"/>
            <w:tcBorders>
              <w:top w:val="single" w:color="000000" w:sz="4" w:space="0"/>
              <w:left w:val="single" w:color="000000" w:sz="4" w:space="0"/>
              <w:bottom w:val="single" w:color="000000" w:sz="4" w:space="0"/>
              <w:right w:val="single" w:color="000000" w:sz="4" w:space="0"/>
            </w:tcBorders>
            <w:vAlign w:val="center"/>
          </w:tcPr>
          <w:p w14:paraId="6A2932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p>
        </w:tc>
        <w:tc>
          <w:tcPr>
            <w:tcW w:w="1472" w:type="dxa"/>
            <w:tcBorders>
              <w:top w:val="single" w:color="000000" w:sz="4" w:space="0"/>
              <w:left w:val="single" w:color="000000" w:sz="4" w:space="0"/>
              <w:bottom w:val="single" w:color="000000" w:sz="4" w:space="0"/>
              <w:right w:val="single" w:color="000000" w:sz="4" w:space="0"/>
            </w:tcBorders>
            <w:vAlign w:val="center"/>
          </w:tcPr>
          <w:p w14:paraId="196B03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4"/>
                <w14:ligatures w14:val="standardContextual"/>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39693E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4"/>
                <w14:ligatures w14:val="standardContextual"/>
              </w:rPr>
            </w:pPr>
            <w:r>
              <w:rPr>
                <w:rFonts w:hint="eastAsia" w:ascii="宋体" w:hAnsi="宋体" w:eastAsia="宋体" w:cs="宋体"/>
                <w:b/>
                <w:bCs/>
                <w:sz w:val="22"/>
                <w:szCs w:val="24"/>
                <w14:ligatures w14:val="standardContextual"/>
              </w:rPr>
              <w:t>服务承诺：</w:t>
            </w:r>
            <w:r>
              <w:rPr>
                <w:rFonts w:hint="eastAsia" w:ascii="宋体" w:hAnsi="宋体" w:eastAsia="宋体" w:cs="宋体"/>
                <w:sz w:val="22"/>
                <w:szCs w:val="24"/>
                <w14:ligatures w14:val="standardContextual"/>
              </w:rPr>
              <w:t>根据服务承诺（包含服务内容、服务措施、服务周期等）评分。</w:t>
            </w:r>
          </w:p>
          <w:p w14:paraId="1599B0BC">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服务承诺完善可行的得5分；</w:t>
            </w:r>
          </w:p>
          <w:p w14:paraId="441DD35F">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服务承诺基本可行的得3</w:t>
            </w:r>
            <w:r>
              <w:rPr>
                <w:rFonts w:hint="eastAsia" w:ascii="宋体" w:hAnsi="宋体" w:cs="宋体"/>
                <w:sz w:val="22"/>
                <w:szCs w:val="24"/>
                <w:lang w:val="en-US" w:eastAsia="zh-CN"/>
                <w14:ligatures w14:val="standardContextual"/>
              </w:rPr>
              <w:t>.5</w:t>
            </w:r>
            <w:r>
              <w:rPr>
                <w:rFonts w:hint="eastAsia" w:ascii="宋体" w:hAnsi="宋体" w:eastAsia="宋体" w:cs="宋体"/>
                <w:sz w:val="22"/>
                <w:szCs w:val="24"/>
                <w14:ligatures w14:val="standardContextual"/>
              </w:rPr>
              <w:t>分；</w:t>
            </w:r>
          </w:p>
          <w:p w14:paraId="4742AA65">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服务承诺不可行的得</w:t>
            </w:r>
            <w:r>
              <w:rPr>
                <w:rFonts w:hint="eastAsia" w:ascii="宋体" w:hAnsi="宋体" w:cs="宋体"/>
                <w:sz w:val="22"/>
                <w:szCs w:val="24"/>
                <w:lang w:val="en-US" w:eastAsia="zh-CN"/>
                <w14:ligatures w14:val="standardContextual"/>
              </w:rPr>
              <w:t>2</w:t>
            </w:r>
            <w:r>
              <w:rPr>
                <w:rFonts w:hint="eastAsia" w:ascii="宋体" w:hAnsi="宋体" w:eastAsia="宋体" w:cs="宋体"/>
                <w:sz w:val="22"/>
                <w:szCs w:val="24"/>
                <w14:ligatures w14:val="standardContextual"/>
              </w:rPr>
              <w:t>分；</w:t>
            </w:r>
          </w:p>
          <w:p w14:paraId="638FB816">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不提供不得分。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1B9604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bidi="zh-CN"/>
                <w14:ligatures w14:val="standardContextual"/>
              </w:rPr>
            </w:pPr>
            <w:r>
              <w:rPr>
                <w:rFonts w:hint="eastAsia" w:ascii="宋体" w:hAnsi="宋体" w:eastAsia="宋体" w:cs="宋体"/>
                <w:sz w:val="22"/>
                <w:szCs w:val="24"/>
                <w14:ligatures w14:val="standardContextual"/>
              </w:rPr>
              <w:t>5</w:t>
            </w:r>
          </w:p>
        </w:tc>
      </w:tr>
      <w:tr w14:paraId="1EB43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449" w:type="dxa"/>
            <w:vMerge w:val="restart"/>
            <w:tcBorders>
              <w:top w:val="single" w:color="000000" w:sz="4" w:space="0"/>
              <w:left w:val="single" w:color="000000" w:sz="4" w:space="0"/>
              <w:right w:val="single" w:color="000000" w:sz="4" w:space="0"/>
            </w:tcBorders>
            <w:vAlign w:val="center"/>
          </w:tcPr>
          <w:p w14:paraId="634B42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3</w:t>
            </w:r>
          </w:p>
          <w:p w14:paraId="594F39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14:ligatures w14:val="standardContextual"/>
              </w:rPr>
            </w:pPr>
          </w:p>
        </w:tc>
        <w:tc>
          <w:tcPr>
            <w:tcW w:w="1472" w:type="dxa"/>
            <w:vMerge w:val="restart"/>
            <w:tcBorders>
              <w:top w:val="single" w:color="000000" w:sz="4" w:space="0"/>
              <w:left w:val="single" w:color="000000" w:sz="4" w:space="0"/>
              <w:right w:val="single" w:color="000000" w:sz="4" w:space="0"/>
            </w:tcBorders>
            <w:vAlign w:val="center"/>
          </w:tcPr>
          <w:p w14:paraId="4F70BE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商务部分</w:t>
            </w:r>
          </w:p>
          <w:p w14:paraId="335A96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w:t>
            </w:r>
            <w:r>
              <w:rPr>
                <w:rFonts w:hint="eastAsia" w:ascii="宋体" w:hAnsi="宋体" w:eastAsia="宋体" w:cs="宋体"/>
                <w:sz w:val="22"/>
                <w:szCs w:val="24"/>
                <w:lang w:val="en-US" w:eastAsia="zh-CN"/>
                <w14:ligatures w14:val="standardContextual"/>
              </w:rPr>
              <w:t>3</w:t>
            </w:r>
            <w:r>
              <w:rPr>
                <w:rFonts w:hint="eastAsia" w:ascii="宋体" w:hAnsi="宋体" w:cs="宋体"/>
                <w:sz w:val="22"/>
                <w:szCs w:val="24"/>
                <w:lang w:val="en-US" w:eastAsia="zh-CN"/>
                <w14:ligatures w14:val="standardContextual"/>
              </w:rPr>
              <w:t>0</w:t>
            </w:r>
            <w:r>
              <w:rPr>
                <w:rFonts w:hint="eastAsia" w:ascii="宋体" w:hAnsi="宋体" w:eastAsia="宋体" w:cs="宋体"/>
                <w:sz w:val="22"/>
                <w:szCs w:val="24"/>
                <w14:ligatures w14:val="standardContextual"/>
              </w:rPr>
              <w:t>分）</w:t>
            </w:r>
          </w:p>
        </w:tc>
        <w:tc>
          <w:tcPr>
            <w:tcW w:w="6970" w:type="dxa"/>
            <w:tcBorders>
              <w:top w:val="single" w:color="000000" w:sz="4" w:space="0"/>
              <w:left w:val="single" w:color="000000" w:sz="4" w:space="0"/>
              <w:bottom w:val="single" w:color="000000" w:sz="4" w:space="0"/>
              <w:right w:val="single" w:color="000000" w:sz="4" w:space="0"/>
            </w:tcBorders>
            <w:vAlign w:val="center"/>
          </w:tcPr>
          <w:p w14:paraId="064234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sz w:val="22"/>
                <w:szCs w:val="24"/>
                <w:highlight w:val="none"/>
                <w14:ligatures w14:val="standardContextual"/>
              </w:rPr>
            </w:pPr>
            <w:r>
              <w:rPr>
                <w:rFonts w:hint="eastAsia" w:ascii="宋体" w:hAnsi="宋体" w:eastAsia="宋体" w:cs="宋体"/>
                <w:b/>
                <w:bCs w:val="0"/>
                <w:sz w:val="22"/>
                <w:szCs w:val="24"/>
                <w:highlight w:val="none"/>
                <w14:ligatures w14:val="standardContextual"/>
              </w:rPr>
              <w:t>人员配备：</w:t>
            </w:r>
          </w:p>
          <w:p w14:paraId="264D91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kern w:val="2"/>
                <w:sz w:val="22"/>
                <w:szCs w:val="24"/>
                <w:highlight w:val="none"/>
                <w:lang w:val="en-US" w:eastAsia="zh-CN" w:bidi="ar-SA"/>
                <w14:ligatures w14:val="standardContextual"/>
              </w:rPr>
            </w:pPr>
            <w:r>
              <w:rPr>
                <w:rFonts w:hint="eastAsia" w:ascii="宋体" w:hAnsi="宋体" w:eastAsia="宋体" w:cs="宋体"/>
                <w:b/>
                <w:bCs w:val="0"/>
                <w:kern w:val="2"/>
                <w:sz w:val="22"/>
                <w:szCs w:val="24"/>
                <w:highlight w:val="none"/>
                <w:lang w:val="en-US" w:eastAsia="zh-CN" w:bidi="ar-SA"/>
                <w14:ligatures w14:val="standardContextual"/>
              </w:rPr>
              <w:t>1、项目负责人：</w:t>
            </w:r>
            <w:r>
              <w:rPr>
                <w:rFonts w:hint="eastAsia" w:ascii="宋体" w:hAnsi="宋体" w:eastAsia="宋体" w:cs="宋体"/>
                <w:b w:val="0"/>
                <w:bCs/>
                <w:kern w:val="2"/>
                <w:sz w:val="22"/>
                <w:szCs w:val="24"/>
                <w:highlight w:val="none"/>
                <w:lang w:val="en-US" w:eastAsia="zh-CN" w:bidi="ar-SA"/>
                <w14:ligatures w14:val="standardContextual"/>
              </w:rPr>
              <w:t>具有中级城乡规划师专业技术职称得0.5分，具有高级城乡规划师及以上专业技术职称得1分，具有注册城乡规划师证书的得2分。本项最高得3分;</w:t>
            </w:r>
          </w:p>
          <w:p w14:paraId="560A5A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2"/>
                <w:sz w:val="22"/>
                <w:szCs w:val="24"/>
                <w:highlight w:val="none"/>
                <w:lang w:val="en-US" w:eastAsia="zh-CN" w:bidi="ar-SA"/>
                <w14:ligatures w14:val="standardContextual"/>
              </w:rPr>
            </w:pPr>
            <w:r>
              <w:rPr>
                <w:rFonts w:hint="eastAsia" w:ascii="宋体" w:hAnsi="宋体" w:eastAsia="宋体" w:cs="宋体"/>
                <w:b/>
                <w:bCs w:val="0"/>
                <w:kern w:val="2"/>
                <w:sz w:val="22"/>
                <w:szCs w:val="24"/>
                <w:highlight w:val="none"/>
                <w:lang w:val="en-US" w:eastAsia="zh-CN" w:bidi="ar-SA"/>
                <w14:ligatures w14:val="standardContextual"/>
              </w:rPr>
              <w:t>2、给排水规划专业负责人：</w:t>
            </w:r>
            <w:r>
              <w:rPr>
                <w:rFonts w:hint="eastAsia" w:ascii="宋体" w:hAnsi="宋体" w:eastAsia="宋体" w:cs="宋体"/>
                <w:b w:val="0"/>
                <w:bCs/>
                <w:kern w:val="2"/>
                <w:sz w:val="22"/>
                <w:szCs w:val="24"/>
                <w:highlight w:val="none"/>
                <w:lang w:val="en-US" w:eastAsia="zh-CN" w:bidi="ar-SA"/>
                <w14:ligatures w14:val="standardContextual"/>
              </w:rPr>
              <w:t>具有中级城乡规划师专业技术职称得0.5分，具有城市规划专业的高级及以上专业技术职称得1分，具有注册城乡规划师证书的得2分，具有注册公用设备工程师(给水排水)证书得3分，本项最高得6分。</w:t>
            </w:r>
          </w:p>
          <w:p w14:paraId="63FC66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2"/>
                <w:sz w:val="22"/>
                <w:szCs w:val="24"/>
                <w:highlight w:val="none"/>
                <w:lang w:val="en-US" w:eastAsia="zh-CN" w:bidi="ar-SA"/>
                <w14:ligatures w14:val="standardContextual"/>
              </w:rPr>
            </w:pPr>
            <w:r>
              <w:rPr>
                <w:rFonts w:hint="eastAsia" w:ascii="宋体" w:hAnsi="宋体" w:eastAsia="宋体" w:cs="宋体"/>
                <w:b/>
                <w:bCs w:val="0"/>
                <w:kern w:val="2"/>
                <w:sz w:val="22"/>
                <w:szCs w:val="24"/>
                <w:highlight w:val="none"/>
                <w:lang w:val="en-US" w:eastAsia="zh-CN" w:bidi="ar-SA"/>
                <w14:ligatures w14:val="standardContextual"/>
              </w:rPr>
              <w:t>3、造价负责人：</w:t>
            </w:r>
            <w:r>
              <w:rPr>
                <w:rFonts w:hint="eastAsia" w:ascii="宋体" w:hAnsi="宋体" w:eastAsia="宋体" w:cs="宋体"/>
                <w:b w:val="0"/>
                <w:bCs/>
                <w:kern w:val="2"/>
                <w:sz w:val="22"/>
                <w:szCs w:val="24"/>
                <w:highlight w:val="none"/>
                <w:lang w:val="en-US" w:eastAsia="zh-CN" w:bidi="ar-SA"/>
                <w14:ligatures w14:val="standardContextual"/>
              </w:rPr>
              <w:t>具有造价专业工程师职称的得0.5分，具有造价专业高级工程师职称的得1分，具有注册造价工程师证书的得2分。本项最高得3分。</w:t>
            </w:r>
          </w:p>
          <w:p w14:paraId="1771F3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bCs w:val="0"/>
                <w:sz w:val="22"/>
                <w:szCs w:val="24"/>
                <w:highlight w:val="none"/>
                <w:lang w:val="en-US" w:eastAsia="zh-CN"/>
                <w14:ligatures w14:val="standardContextual"/>
              </w:rPr>
            </w:pPr>
            <w:r>
              <w:rPr>
                <w:rFonts w:hint="eastAsia" w:ascii="宋体" w:hAnsi="宋体" w:eastAsia="宋体" w:cs="宋体"/>
                <w:b/>
                <w:bCs w:val="0"/>
                <w:kern w:val="2"/>
                <w:sz w:val="22"/>
                <w:szCs w:val="24"/>
                <w:highlight w:val="none"/>
                <w:lang w:val="en-US" w:eastAsia="zh-CN" w:bidi="ar-SA"/>
                <w14:ligatures w14:val="standardContextual"/>
              </w:rPr>
              <w:t>4、电气负责人：</w:t>
            </w:r>
            <w:r>
              <w:rPr>
                <w:rFonts w:hint="eastAsia" w:ascii="宋体" w:hAnsi="宋体" w:eastAsia="宋体" w:cs="宋体"/>
                <w:b w:val="0"/>
                <w:bCs/>
                <w:kern w:val="2"/>
                <w:sz w:val="22"/>
                <w:szCs w:val="24"/>
                <w:highlight w:val="none"/>
                <w:lang w:val="en-US" w:eastAsia="zh-CN" w:bidi="ar-SA"/>
                <w14:ligatures w14:val="standardContextual"/>
              </w:rPr>
              <w:t>具有电气专业工程师职称的得0.5分，具有电气专业高级工程师职称的得1分，具有注册电气工程师（供配电）证书的得2分。本项最高得3分。</w:t>
            </w:r>
          </w:p>
          <w:p w14:paraId="0A9E23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2"/>
                <w:szCs w:val="24"/>
                <w14:ligatures w14:val="standardContextual"/>
              </w:rPr>
            </w:pPr>
            <w:r>
              <w:rPr>
                <w:rFonts w:hint="eastAsia" w:ascii="宋体" w:hAnsi="宋体" w:eastAsia="宋体" w:cs="宋体"/>
                <w:bCs/>
                <w:sz w:val="22"/>
                <w:szCs w:val="24"/>
                <w:highlight w:val="none"/>
                <w14:ligatures w14:val="standardContextual"/>
              </w:rPr>
              <w:t>（①提供相应的身份证、职称证、注册证书等相关证明材料复印件。②须提供</w:t>
            </w:r>
            <w:r>
              <w:rPr>
                <w:rFonts w:hint="eastAsia" w:ascii="宋体" w:hAnsi="宋体" w:cs="宋体"/>
                <w:bCs/>
                <w:sz w:val="22"/>
                <w:szCs w:val="24"/>
                <w:highlight w:val="none"/>
                <w:lang w:val="en-US" w:eastAsia="zh-CN"/>
                <w14:ligatures w14:val="standardContextual"/>
              </w:rPr>
              <w:t>投标截止时间前六个月内任意一个月</w:t>
            </w:r>
            <w:r>
              <w:rPr>
                <w:rFonts w:hint="eastAsia" w:ascii="宋体" w:hAnsi="宋体" w:eastAsia="宋体" w:cs="宋体"/>
                <w:bCs/>
                <w:sz w:val="22"/>
                <w:szCs w:val="24"/>
                <w:highlight w:val="none"/>
                <w14:ligatures w14:val="standardContextual"/>
              </w:rPr>
              <w:t>供应商为其缴纳的社保缴费证明材料。③若职称证书不体现专业，以职称评审表专业为准。注：未提供或提供不全不得分）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6FD021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val="en-US" w:eastAsia="zh-CN"/>
                <w14:ligatures w14:val="standardContextual"/>
              </w:rPr>
            </w:pPr>
            <w:r>
              <w:rPr>
                <w:rFonts w:hint="eastAsia" w:ascii="宋体" w:hAnsi="宋体" w:eastAsia="宋体" w:cs="宋体"/>
                <w:sz w:val="22"/>
                <w:szCs w:val="24"/>
                <w:lang w:val="en-US" w:eastAsia="zh-CN"/>
                <w14:ligatures w14:val="standardContextual"/>
              </w:rPr>
              <w:t>1</w:t>
            </w:r>
            <w:r>
              <w:rPr>
                <w:rFonts w:hint="eastAsia" w:ascii="宋体" w:hAnsi="宋体" w:cs="宋体"/>
                <w:sz w:val="22"/>
                <w:szCs w:val="24"/>
                <w:lang w:val="en-US" w:eastAsia="zh-CN"/>
                <w14:ligatures w14:val="standardContextual"/>
              </w:rPr>
              <w:t>5</w:t>
            </w:r>
          </w:p>
        </w:tc>
      </w:tr>
      <w:tr w14:paraId="23CA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449" w:type="dxa"/>
            <w:vMerge w:val="continue"/>
            <w:tcBorders>
              <w:left w:val="single" w:color="000000" w:sz="4" w:space="0"/>
              <w:right w:val="single" w:color="000000" w:sz="4" w:space="0"/>
            </w:tcBorders>
            <w:vAlign w:val="center"/>
          </w:tcPr>
          <w:p w14:paraId="02C704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14:ligatures w14:val="standardContextual"/>
              </w:rPr>
            </w:pPr>
          </w:p>
        </w:tc>
        <w:tc>
          <w:tcPr>
            <w:tcW w:w="1472" w:type="dxa"/>
            <w:vMerge w:val="continue"/>
            <w:tcBorders>
              <w:left w:val="single" w:color="000000" w:sz="4" w:space="0"/>
              <w:right w:val="single" w:color="000000" w:sz="4" w:space="0"/>
            </w:tcBorders>
            <w:vAlign w:val="center"/>
          </w:tcPr>
          <w:p w14:paraId="27F78F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4"/>
                <w14:ligatures w14:val="standardContextual"/>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5F4C16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sz w:val="22"/>
                <w:szCs w:val="24"/>
                <w14:ligatures w14:val="standardContextual"/>
              </w:rPr>
            </w:pPr>
            <w:r>
              <w:rPr>
                <w:rFonts w:hint="eastAsia" w:ascii="宋体" w:hAnsi="宋体" w:eastAsia="宋体" w:cs="宋体"/>
                <w:b/>
                <w:bCs w:val="0"/>
                <w:sz w:val="22"/>
                <w:szCs w:val="24"/>
                <w14:ligatures w14:val="standardContextual"/>
              </w:rPr>
              <w:t>企业业绩：</w:t>
            </w:r>
          </w:p>
          <w:p w14:paraId="49D06F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2"/>
                <w:szCs w:val="24"/>
                <w14:ligatures w14:val="standardContextual"/>
              </w:rPr>
            </w:pPr>
            <w:r>
              <w:rPr>
                <w:rFonts w:hint="eastAsia" w:ascii="宋体" w:hAnsi="宋体" w:eastAsia="宋体" w:cs="宋体"/>
                <w:bCs/>
                <w:sz w:val="22"/>
                <w:szCs w:val="24"/>
                <w14:ligatures w14:val="standardContextual"/>
              </w:rPr>
              <w:t>提供十四五供水类规划项目业绩，每个得5分，满分10分。</w:t>
            </w:r>
          </w:p>
          <w:p w14:paraId="274FCA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lang w:val="en-US" w:eastAsia="zh-CN"/>
              </w:rPr>
            </w:pPr>
            <w:r>
              <w:rPr>
                <w:rFonts w:hint="eastAsia" w:ascii="宋体" w:hAnsi="宋体" w:eastAsia="宋体" w:cs="宋体"/>
                <w:bCs/>
                <w:sz w:val="22"/>
                <w:szCs w:val="24"/>
                <w:lang w:val="en-US" w:eastAsia="zh-CN"/>
                <w14:ligatures w14:val="standardContextual"/>
              </w:rPr>
              <w:t>注：提供合同复印件计分，未提供或提供不全的不得分。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5C577F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10</w:t>
            </w:r>
          </w:p>
        </w:tc>
      </w:tr>
      <w:tr w14:paraId="2C407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449" w:type="dxa"/>
            <w:vMerge w:val="continue"/>
            <w:tcBorders>
              <w:left w:val="single" w:color="000000" w:sz="4" w:space="0"/>
              <w:bottom w:val="single" w:color="000000" w:sz="4" w:space="0"/>
              <w:right w:val="single" w:color="000000" w:sz="4" w:space="0"/>
            </w:tcBorders>
            <w:vAlign w:val="center"/>
          </w:tcPr>
          <w:p w14:paraId="18F93E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val="en-US" w:eastAsia="zh-CN"/>
                <w14:ligatures w14:val="standardContextual"/>
              </w:rPr>
            </w:pPr>
          </w:p>
        </w:tc>
        <w:tc>
          <w:tcPr>
            <w:tcW w:w="1472" w:type="dxa"/>
            <w:vMerge w:val="continue"/>
            <w:tcBorders>
              <w:left w:val="single" w:color="000000" w:sz="4" w:space="0"/>
              <w:bottom w:val="single" w:color="000000" w:sz="4" w:space="0"/>
              <w:right w:val="single" w:color="000000" w:sz="4" w:space="0"/>
            </w:tcBorders>
            <w:vAlign w:val="center"/>
          </w:tcPr>
          <w:p w14:paraId="2CD9E6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lang w:val="en-US" w:eastAsia="zh-CN"/>
                <w14:ligatures w14:val="standardContextual"/>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3E6C943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sz w:val="22"/>
                <w:szCs w:val="24"/>
                <w14:ligatures w14:val="standardContextual"/>
              </w:rPr>
            </w:pPr>
            <w:r>
              <w:rPr>
                <w:rFonts w:hint="eastAsia" w:ascii="宋体" w:hAnsi="宋体" w:eastAsia="宋体" w:cs="宋体"/>
                <w:b/>
                <w:bCs w:val="0"/>
                <w:sz w:val="22"/>
                <w:szCs w:val="24"/>
                <w14:ligatures w14:val="standardContextual"/>
              </w:rPr>
              <w:t>企业获奖：</w:t>
            </w:r>
          </w:p>
          <w:p w14:paraId="524A3D3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2"/>
                <w:szCs w:val="24"/>
                <w14:ligatures w14:val="standardContextual"/>
              </w:rPr>
            </w:pPr>
            <w:r>
              <w:rPr>
                <w:rFonts w:hint="eastAsia" w:ascii="宋体" w:hAnsi="宋体" w:eastAsia="宋体" w:cs="宋体"/>
                <w:bCs/>
                <w:sz w:val="22"/>
                <w:szCs w:val="24"/>
                <w14:ligatures w14:val="standardContextual"/>
              </w:rPr>
              <w:t>投标人提供十四五规划类项目获得工程咨询协会颁发的优秀工程咨询成果水平评价奖项的，每个得5分，满分5分。</w:t>
            </w:r>
          </w:p>
          <w:p w14:paraId="31426F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rPr>
            </w:pPr>
            <w:r>
              <w:rPr>
                <w:rFonts w:hint="eastAsia" w:ascii="宋体" w:hAnsi="宋体" w:eastAsia="宋体" w:cs="宋体"/>
                <w:bCs/>
                <w:sz w:val="22"/>
                <w:szCs w:val="24"/>
                <w14:ligatures w14:val="standardContextual"/>
              </w:rPr>
              <w:t>注：提供</w:t>
            </w:r>
            <w:r>
              <w:rPr>
                <w:rFonts w:hint="eastAsia" w:ascii="宋体" w:hAnsi="宋体" w:eastAsia="宋体" w:cs="宋体"/>
                <w:bCs/>
                <w:sz w:val="22"/>
                <w:szCs w:val="24"/>
                <w:lang w:val="en-US" w:eastAsia="zh-CN"/>
                <w14:ligatures w14:val="standardContextual"/>
              </w:rPr>
              <w:t>证书或批文</w:t>
            </w:r>
            <w:r>
              <w:rPr>
                <w:rFonts w:hint="eastAsia" w:ascii="宋体" w:hAnsi="宋体" w:eastAsia="宋体" w:cs="宋体"/>
                <w:bCs/>
                <w:sz w:val="22"/>
                <w:szCs w:val="24"/>
                <w14:ligatures w14:val="standardContextual"/>
              </w:rPr>
              <w:t>复印件计分，未提供或提供不全的不得分。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051C5D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4"/>
                <w14:ligatures w14:val="standardContextual"/>
              </w:rPr>
            </w:pPr>
            <w:r>
              <w:rPr>
                <w:rFonts w:hint="eastAsia" w:ascii="宋体" w:hAnsi="宋体" w:eastAsia="宋体" w:cs="宋体"/>
                <w:sz w:val="22"/>
                <w:szCs w:val="24"/>
                <w14:ligatures w14:val="standardContextual"/>
              </w:rPr>
              <w:t>5</w:t>
            </w:r>
          </w:p>
        </w:tc>
      </w:tr>
    </w:tbl>
    <w:p w14:paraId="50CB9D7F">
      <w:pPr>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p w14:paraId="1940C0BA">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1.所有打分项均以供应商所提供的响应文件进行打分，响应文件中未提及的不予认可，磋商截止时间后不得修改或是补充响应文件；</w:t>
      </w:r>
    </w:p>
    <w:p w14:paraId="433D76F0">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2.供应商的最终得分为所有评委打分的平均值，计算结果保留至小数点后两位。</w:t>
      </w:r>
    </w:p>
    <w:p w14:paraId="5B7618AF">
      <w:pPr>
        <w:widowControl/>
        <w:spacing w:line="400" w:lineRule="exact"/>
        <w:jc w:val="left"/>
        <w:rPr>
          <w:rFonts w:hint="eastAsia" w:ascii="宋体" w:hAnsi="宋体" w:eastAsia="宋体" w:cs="宋体"/>
          <w:color w:val="auto"/>
          <w:sz w:val="24"/>
          <w:szCs w:val="24"/>
          <w:highlight w:val="none"/>
        </w:rPr>
      </w:pPr>
    </w:p>
    <w:p w14:paraId="45EDBE0D">
      <w:pPr>
        <w:ind w:firstLine="420"/>
        <w:jc w:val="center"/>
        <w:outlineLvl w:val="0"/>
        <w:rPr>
          <w:rFonts w:hint="eastAsia" w:ascii="宋体" w:hAnsi="宋体" w:eastAsia="宋体" w:cs="宋体"/>
          <w:b/>
          <w:bCs/>
          <w:color w:val="auto"/>
          <w:sz w:val="32"/>
          <w:szCs w:val="32"/>
          <w:highlight w:val="none"/>
        </w:rPr>
      </w:pPr>
    </w:p>
    <w:p w14:paraId="3E4503FD">
      <w:pPr>
        <w:ind w:firstLine="420"/>
        <w:jc w:val="center"/>
        <w:outlineLvl w:val="0"/>
        <w:rPr>
          <w:rFonts w:hint="eastAsia" w:ascii="宋体" w:hAnsi="宋体" w:eastAsia="宋体" w:cs="宋体"/>
          <w:b/>
          <w:bCs/>
          <w:color w:val="auto"/>
          <w:sz w:val="32"/>
          <w:szCs w:val="32"/>
          <w:highlight w:val="none"/>
        </w:rPr>
      </w:pPr>
    </w:p>
    <w:p w14:paraId="35857423">
      <w:pPr>
        <w:ind w:firstLine="420"/>
        <w:jc w:val="center"/>
        <w:outlineLvl w:val="0"/>
        <w:rPr>
          <w:rFonts w:hint="eastAsia" w:ascii="宋体" w:hAnsi="宋体" w:eastAsia="宋体" w:cs="宋体"/>
          <w:b/>
          <w:bCs/>
          <w:color w:val="auto"/>
          <w:sz w:val="32"/>
          <w:szCs w:val="32"/>
          <w:highlight w:val="none"/>
        </w:rPr>
      </w:pPr>
    </w:p>
    <w:p w14:paraId="260126F6">
      <w:pPr>
        <w:ind w:firstLine="420"/>
        <w:jc w:val="center"/>
        <w:outlineLvl w:val="0"/>
        <w:rPr>
          <w:rFonts w:hint="eastAsia" w:ascii="宋体" w:hAnsi="宋体" w:eastAsia="宋体" w:cs="宋体"/>
          <w:b/>
          <w:bCs/>
          <w:color w:val="auto"/>
          <w:sz w:val="32"/>
          <w:szCs w:val="32"/>
          <w:highlight w:val="none"/>
        </w:rPr>
      </w:pPr>
    </w:p>
    <w:p w14:paraId="755BF1EA">
      <w:pPr>
        <w:ind w:firstLine="420"/>
        <w:jc w:val="center"/>
        <w:outlineLvl w:val="0"/>
        <w:rPr>
          <w:rFonts w:hint="eastAsia" w:ascii="宋体" w:hAnsi="宋体" w:eastAsia="宋体" w:cs="宋体"/>
          <w:b/>
          <w:bCs/>
          <w:color w:val="auto"/>
          <w:sz w:val="32"/>
          <w:szCs w:val="32"/>
          <w:highlight w:val="none"/>
        </w:rPr>
      </w:pPr>
    </w:p>
    <w:p w14:paraId="70679C9F">
      <w:pPr>
        <w:ind w:firstLine="420"/>
        <w:jc w:val="center"/>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2"/>
          <w:szCs w:val="32"/>
          <w:highlight w:val="none"/>
        </w:rPr>
        <w:t xml:space="preserve">第二章  </w:t>
      </w:r>
      <w:r>
        <w:rPr>
          <w:rFonts w:hint="eastAsia" w:ascii="宋体" w:hAnsi="宋体" w:eastAsia="宋体" w:cs="宋体"/>
          <w:b/>
          <w:bCs/>
          <w:color w:val="auto"/>
          <w:sz w:val="30"/>
          <w:szCs w:val="30"/>
          <w:highlight w:val="none"/>
        </w:rPr>
        <w:t>响应文件各类表格及格式文本</w:t>
      </w:r>
    </w:p>
    <w:p w14:paraId="39D775B7">
      <w:pPr>
        <w:rPr>
          <w:rFonts w:hint="eastAsia" w:ascii="宋体" w:hAnsi="宋体" w:eastAsia="宋体" w:cs="宋体"/>
          <w:color w:val="auto"/>
          <w:sz w:val="24"/>
          <w:szCs w:val="24"/>
          <w:highlight w:val="none"/>
        </w:rPr>
      </w:pPr>
    </w:p>
    <w:p w14:paraId="06C2B0C3">
      <w:pPr>
        <w:jc w:val="center"/>
        <w:outlineLvl w:val="1"/>
        <w:rPr>
          <w:rFonts w:hint="eastAsia" w:ascii="宋体" w:hAnsi="宋体" w:eastAsia="宋体" w:cs="宋体"/>
          <w:color w:val="auto"/>
          <w:sz w:val="28"/>
          <w:highlight w:val="none"/>
        </w:rPr>
      </w:pPr>
      <w:r>
        <w:rPr>
          <w:rFonts w:hint="eastAsia" w:ascii="宋体" w:hAnsi="宋体" w:eastAsia="宋体" w:cs="宋体"/>
          <w:color w:val="auto"/>
          <w:sz w:val="28"/>
          <w:highlight w:val="none"/>
        </w:rPr>
        <w:t>1.综合评分索引表</w:t>
      </w:r>
    </w:p>
    <w:tbl>
      <w:tblPr>
        <w:tblStyle w:val="20"/>
        <w:tblW w:w="0" w:type="auto"/>
        <w:jc w:val="center"/>
        <w:tblLayout w:type="fixed"/>
        <w:tblCellMar>
          <w:top w:w="0" w:type="dxa"/>
          <w:left w:w="0" w:type="dxa"/>
          <w:bottom w:w="0" w:type="dxa"/>
          <w:right w:w="0" w:type="dxa"/>
        </w:tblCellMar>
      </w:tblPr>
      <w:tblGrid>
        <w:gridCol w:w="1095"/>
        <w:gridCol w:w="4114"/>
        <w:gridCol w:w="2486"/>
        <w:gridCol w:w="1804"/>
      </w:tblGrid>
      <w:tr w14:paraId="00A1B8AA">
        <w:tblPrEx>
          <w:tblCellMar>
            <w:top w:w="0" w:type="dxa"/>
            <w:left w:w="0" w:type="dxa"/>
            <w:bottom w:w="0" w:type="dxa"/>
            <w:right w:w="0" w:type="dxa"/>
          </w:tblCellMar>
        </w:tblPrEx>
        <w:trPr>
          <w:trHeight w:val="566" w:hRule="atLeast"/>
          <w:jc w:val="center"/>
        </w:trPr>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19521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1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8D17C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 分 项 目</w:t>
            </w:r>
          </w:p>
        </w:tc>
        <w:tc>
          <w:tcPr>
            <w:tcW w:w="24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DB8EC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  码</w:t>
            </w:r>
          </w:p>
        </w:tc>
        <w:tc>
          <w:tcPr>
            <w:tcW w:w="1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0BB91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r>
      <w:tr w14:paraId="56A6E742">
        <w:tblPrEx>
          <w:tblCellMar>
            <w:top w:w="0" w:type="dxa"/>
            <w:left w:w="0" w:type="dxa"/>
            <w:bottom w:w="0" w:type="dxa"/>
            <w:right w:w="0" w:type="dxa"/>
          </w:tblCellMar>
        </w:tblPrEx>
        <w:trPr>
          <w:trHeight w:val="542" w:hRule="atLeast"/>
          <w:jc w:val="center"/>
        </w:trPr>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99168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1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B58241">
            <w:pPr>
              <w:rPr>
                <w:rFonts w:hint="eastAsia" w:ascii="宋体" w:hAnsi="宋体" w:eastAsia="宋体" w:cs="宋体"/>
                <w:color w:val="auto"/>
                <w:sz w:val="24"/>
                <w:highlight w:val="none"/>
              </w:rPr>
            </w:pPr>
          </w:p>
        </w:tc>
        <w:tc>
          <w:tcPr>
            <w:tcW w:w="24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DE3176">
            <w:pPr>
              <w:jc w:val="center"/>
              <w:rPr>
                <w:rFonts w:hint="eastAsia" w:ascii="宋体" w:hAnsi="宋体" w:eastAsia="宋体" w:cs="宋体"/>
                <w:color w:val="auto"/>
                <w:sz w:val="24"/>
                <w:highlight w:val="none"/>
              </w:rPr>
            </w:pPr>
          </w:p>
        </w:tc>
        <w:tc>
          <w:tcPr>
            <w:tcW w:w="1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DBA714">
            <w:pPr>
              <w:jc w:val="center"/>
              <w:rPr>
                <w:rFonts w:hint="eastAsia" w:ascii="宋体" w:hAnsi="宋体" w:eastAsia="宋体" w:cs="宋体"/>
                <w:color w:val="auto"/>
                <w:sz w:val="24"/>
                <w:highlight w:val="none"/>
              </w:rPr>
            </w:pPr>
          </w:p>
        </w:tc>
      </w:tr>
      <w:tr w14:paraId="1E867349">
        <w:tblPrEx>
          <w:tblCellMar>
            <w:top w:w="0" w:type="dxa"/>
            <w:left w:w="0" w:type="dxa"/>
            <w:bottom w:w="0" w:type="dxa"/>
            <w:right w:w="0" w:type="dxa"/>
          </w:tblCellMar>
        </w:tblPrEx>
        <w:trPr>
          <w:trHeight w:val="542" w:hRule="atLeast"/>
          <w:jc w:val="center"/>
        </w:trPr>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7C9D0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1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2A299C">
            <w:pPr>
              <w:rPr>
                <w:rFonts w:hint="eastAsia" w:ascii="宋体" w:hAnsi="宋体" w:eastAsia="宋体" w:cs="宋体"/>
                <w:color w:val="auto"/>
                <w:sz w:val="24"/>
                <w:highlight w:val="none"/>
              </w:rPr>
            </w:pPr>
          </w:p>
        </w:tc>
        <w:tc>
          <w:tcPr>
            <w:tcW w:w="24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C3286A">
            <w:pPr>
              <w:jc w:val="center"/>
              <w:rPr>
                <w:rFonts w:hint="eastAsia" w:ascii="宋体" w:hAnsi="宋体" w:eastAsia="宋体" w:cs="宋体"/>
                <w:color w:val="auto"/>
                <w:sz w:val="24"/>
                <w:highlight w:val="none"/>
              </w:rPr>
            </w:pPr>
          </w:p>
        </w:tc>
        <w:tc>
          <w:tcPr>
            <w:tcW w:w="1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68564F">
            <w:pPr>
              <w:jc w:val="center"/>
              <w:rPr>
                <w:rFonts w:hint="eastAsia" w:ascii="宋体" w:hAnsi="宋体" w:eastAsia="宋体" w:cs="宋体"/>
                <w:color w:val="auto"/>
                <w:sz w:val="24"/>
                <w:highlight w:val="none"/>
              </w:rPr>
            </w:pPr>
          </w:p>
        </w:tc>
      </w:tr>
      <w:tr w14:paraId="361C1613">
        <w:tblPrEx>
          <w:tblCellMar>
            <w:top w:w="0" w:type="dxa"/>
            <w:left w:w="0" w:type="dxa"/>
            <w:bottom w:w="0" w:type="dxa"/>
            <w:right w:w="0" w:type="dxa"/>
          </w:tblCellMar>
        </w:tblPrEx>
        <w:trPr>
          <w:trHeight w:val="542" w:hRule="atLeast"/>
          <w:jc w:val="center"/>
        </w:trPr>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F120D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41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976B20">
            <w:pPr>
              <w:rPr>
                <w:rFonts w:hint="eastAsia" w:ascii="宋体" w:hAnsi="宋体" w:eastAsia="宋体" w:cs="宋体"/>
                <w:color w:val="auto"/>
                <w:sz w:val="24"/>
                <w:highlight w:val="none"/>
              </w:rPr>
            </w:pPr>
          </w:p>
        </w:tc>
        <w:tc>
          <w:tcPr>
            <w:tcW w:w="24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2381EA">
            <w:pPr>
              <w:jc w:val="center"/>
              <w:rPr>
                <w:rFonts w:hint="eastAsia" w:ascii="宋体" w:hAnsi="宋体" w:eastAsia="宋体" w:cs="宋体"/>
                <w:color w:val="auto"/>
                <w:sz w:val="24"/>
                <w:highlight w:val="none"/>
              </w:rPr>
            </w:pPr>
          </w:p>
        </w:tc>
        <w:tc>
          <w:tcPr>
            <w:tcW w:w="1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7ABB7B">
            <w:pPr>
              <w:jc w:val="center"/>
              <w:rPr>
                <w:rFonts w:hint="eastAsia" w:ascii="宋体" w:hAnsi="宋体" w:eastAsia="宋体" w:cs="宋体"/>
                <w:color w:val="auto"/>
                <w:sz w:val="24"/>
                <w:highlight w:val="none"/>
              </w:rPr>
            </w:pPr>
          </w:p>
        </w:tc>
      </w:tr>
      <w:tr w14:paraId="24AA2EBC">
        <w:tblPrEx>
          <w:tblCellMar>
            <w:top w:w="0" w:type="dxa"/>
            <w:left w:w="0" w:type="dxa"/>
            <w:bottom w:w="0" w:type="dxa"/>
            <w:right w:w="0" w:type="dxa"/>
          </w:tblCellMar>
        </w:tblPrEx>
        <w:trPr>
          <w:trHeight w:val="542" w:hRule="atLeast"/>
          <w:jc w:val="center"/>
        </w:trPr>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EFCB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41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D4A54F">
            <w:pPr>
              <w:rPr>
                <w:rFonts w:hint="eastAsia" w:ascii="宋体" w:hAnsi="宋体" w:eastAsia="宋体" w:cs="宋体"/>
                <w:color w:val="auto"/>
                <w:sz w:val="24"/>
                <w:highlight w:val="none"/>
              </w:rPr>
            </w:pPr>
          </w:p>
        </w:tc>
        <w:tc>
          <w:tcPr>
            <w:tcW w:w="24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873127">
            <w:pPr>
              <w:jc w:val="center"/>
              <w:rPr>
                <w:rFonts w:hint="eastAsia" w:ascii="宋体" w:hAnsi="宋体" w:eastAsia="宋体" w:cs="宋体"/>
                <w:color w:val="auto"/>
                <w:sz w:val="24"/>
                <w:highlight w:val="none"/>
              </w:rPr>
            </w:pPr>
          </w:p>
        </w:tc>
        <w:tc>
          <w:tcPr>
            <w:tcW w:w="1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953C2D">
            <w:pPr>
              <w:jc w:val="center"/>
              <w:rPr>
                <w:rFonts w:hint="eastAsia" w:ascii="宋体" w:hAnsi="宋体" w:eastAsia="宋体" w:cs="宋体"/>
                <w:color w:val="auto"/>
                <w:sz w:val="24"/>
                <w:highlight w:val="none"/>
              </w:rPr>
            </w:pPr>
          </w:p>
        </w:tc>
      </w:tr>
      <w:tr w14:paraId="4F8F3448">
        <w:tblPrEx>
          <w:tblCellMar>
            <w:top w:w="0" w:type="dxa"/>
            <w:left w:w="0" w:type="dxa"/>
            <w:bottom w:w="0" w:type="dxa"/>
            <w:right w:w="0" w:type="dxa"/>
          </w:tblCellMar>
        </w:tblPrEx>
        <w:trPr>
          <w:trHeight w:val="542" w:hRule="atLeast"/>
          <w:jc w:val="center"/>
        </w:trPr>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E9039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41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69FF88">
            <w:pPr>
              <w:rPr>
                <w:rFonts w:hint="eastAsia" w:ascii="宋体" w:hAnsi="宋体" w:eastAsia="宋体" w:cs="宋体"/>
                <w:color w:val="auto"/>
                <w:sz w:val="24"/>
                <w:highlight w:val="none"/>
              </w:rPr>
            </w:pPr>
          </w:p>
        </w:tc>
        <w:tc>
          <w:tcPr>
            <w:tcW w:w="24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60F8F8">
            <w:pPr>
              <w:jc w:val="center"/>
              <w:rPr>
                <w:rFonts w:hint="eastAsia" w:ascii="宋体" w:hAnsi="宋体" w:eastAsia="宋体" w:cs="宋体"/>
                <w:color w:val="auto"/>
                <w:sz w:val="24"/>
                <w:highlight w:val="none"/>
              </w:rPr>
            </w:pPr>
          </w:p>
        </w:tc>
        <w:tc>
          <w:tcPr>
            <w:tcW w:w="1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A6C88D">
            <w:pPr>
              <w:jc w:val="center"/>
              <w:rPr>
                <w:rFonts w:hint="eastAsia" w:ascii="宋体" w:hAnsi="宋体" w:eastAsia="宋体" w:cs="宋体"/>
                <w:color w:val="auto"/>
                <w:sz w:val="24"/>
                <w:highlight w:val="none"/>
              </w:rPr>
            </w:pPr>
          </w:p>
        </w:tc>
      </w:tr>
      <w:tr w14:paraId="31E73383">
        <w:tblPrEx>
          <w:tblCellMar>
            <w:top w:w="0" w:type="dxa"/>
            <w:left w:w="0" w:type="dxa"/>
            <w:bottom w:w="0" w:type="dxa"/>
            <w:right w:w="0" w:type="dxa"/>
          </w:tblCellMar>
        </w:tblPrEx>
        <w:trPr>
          <w:trHeight w:val="552" w:hRule="atLeast"/>
          <w:jc w:val="center"/>
        </w:trPr>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D968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1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A9FF5F">
            <w:pPr>
              <w:rPr>
                <w:rFonts w:hint="eastAsia" w:ascii="宋体" w:hAnsi="宋体" w:eastAsia="宋体" w:cs="宋体"/>
                <w:color w:val="auto"/>
                <w:sz w:val="24"/>
                <w:highlight w:val="none"/>
              </w:rPr>
            </w:pPr>
          </w:p>
        </w:tc>
        <w:tc>
          <w:tcPr>
            <w:tcW w:w="24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FEFF2C">
            <w:pPr>
              <w:jc w:val="center"/>
              <w:rPr>
                <w:rFonts w:hint="eastAsia" w:ascii="宋体" w:hAnsi="宋体" w:eastAsia="宋体" w:cs="宋体"/>
                <w:color w:val="auto"/>
                <w:sz w:val="24"/>
                <w:highlight w:val="none"/>
              </w:rPr>
            </w:pPr>
          </w:p>
        </w:tc>
        <w:tc>
          <w:tcPr>
            <w:tcW w:w="1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A5DD03">
            <w:pPr>
              <w:jc w:val="center"/>
              <w:rPr>
                <w:rFonts w:hint="eastAsia" w:ascii="宋体" w:hAnsi="宋体" w:eastAsia="宋体" w:cs="宋体"/>
                <w:color w:val="auto"/>
                <w:sz w:val="24"/>
                <w:highlight w:val="none"/>
              </w:rPr>
            </w:pPr>
          </w:p>
        </w:tc>
      </w:tr>
    </w:tbl>
    <w:p w14:paraId="6E254192">
      <w:pPr>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注：为便于综合评审打分，由供应商根据评分项目及打分要求，列出相关材料在响应文件中对应的页码。</w:t>
      </w:r>
    </w:p>
    <w:p w14:paraId="06F6E6EA">
      <w:pPr>
        <w:rPr>
          <w:rFonts w:hint="eastAsia" w:ascii="宋体" w:hAnsi="宋体" w:eastAsia="宋体" w:cs="宋体"/>
          <w:color w:val="auto"/>
          <w:sz w:val="24"/>
          <w:highlight w:val="none"/>
        </w:rPr>
      </w:pPr>
    </w:p>
    <w:p w14:paraId="2AF42095">
      <w:pPr>
        <w:rPr>
          <w:rFonts w:hint="eastAsia" w:ascii="宋体" w:hAnsi="宋体" w:eastAsia="宋体" w:cs="宋体"/>
          <w:color w:val="auto"/>
          <w:sz w:val="24"/>
          <w:highlight w:val="none"/>
        </w:rPr>
      </w:pPr>
    </w:p>
    <w:p w14:paraId="4F0DB611">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BFECC7E">
      <w:pPr>
        <w:rPr>
          <w:rFonts w:hint="eastAsia" w:ascii="宋体" w:hAnsi="宋体" w:eastAsia="宋体" w:cs="宋体"/>
          <w:color w:val="auto"/>
          <w:sz w:val="24"/>
          <w:highlight w:val="none"/>
        </w:rPr>
      </w:pPr>
    </w:p>
    <w:p w14:paraId="01C135A8">
      <w:pPr>
        <w:rPr>
          <w:rFonts w:hint="eastAsia" w:ascii="宋体" w:hAnsi="宋体" w:eastAsia="宋体" w:cs="宋体"/>
          <w:color w:val="auto"/>
          <w:sz w:val="24"/>
          <w:highlight w:val="none"/>
        </w:rPr>
      </w:pPr>
    </w:p>
    <w:p w14:paraId="08CB33DA">
      <w:pPr>
        <w:wordWrap w:val="0"/>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供应商（盖单位公章）      </w:t>
      </w:r>
    </w:p>
    <w:p w14:paraId="60B8B760">
      <w:pPr>
        <w:wordWrap w:val="0"/>
        <w:ind w:firstLine="1200" w:firstLineChars="500"/>
        <w:rPr>
          <w:rFonts w:hint="eastAsia" w:ascii="宋体" w:hAnsi="宋体" w:eastAsia="宋体" w:cs="宋体"/>
          <w:color w:val="auto"/>
          <w:sz w:val="24"/>
          <w:highlight w:val="none"/>
        </w:rPr>
      </w:pPr>
    </w:p>
    <w:p w14:paraId="6620C2C0">
      <w:pPr>
        <w:wordWrap w:val="0"/>
        <w:ind w:firstLine="1200" w:firstLineChars="500"/>
        <w:rPr>
          <w:rFonts w:hint="eastAsia" w:ascii="宋体" w:hAnsi="宋体" w:eastAsia="宋体" w:cs="宋体"/>
          <w:color w:val="auto"/>
          <w:sz w:val="24"/>
          <w:highlight w:val="none"/>
        </w:rPr>
      </w:pPr>
    </w:p>
    <w:p w14:paraId="0D7D5C85">
      <w:pPr>
        <w:wordWrap w:val="0"/>
        <w:ind w:firstLine="1200" w:firstLineChars="500"/>
        <w:rPr>
          <w:rFonts w:hint="eastAsia" w:ascii="宋体" w:hAnsi="宋体" w:eastAsia="宋体" w:cs="宋体"/>
          <w:color w:val="auto"/>
          <w:sz w:val="24"/>
          <w:highlight w:val="none"/>
        </w:rPr>
      </w:pPr>
    </w:p>
    <w:p w14:paraId="491FEA46">
      <w:pPr>
        <w:wordWrap w:val="0"/>
        <w:ind w:firstLine="1200" w:firstLineChars="500"/>
        <w:rPr>
          <w:rFonts w:hint="eastAsia" w:ascii="宋体" w:hAnsi="宋体" w:eastAsia="宋体" w:cs="宋体"/>
          <w:color w:val="auto"/>
          <w:sz w:val="24"/>
          <w:highlight w:val="none"/>
        </w:rPr>
      </w:pPr>
    </w:p>
    <w:p w14:paraId="604FD8BA">
      <w:pPr>
        <w:wordWrap w:val="0"/>
        <w:ind w:firstLine="1200" w:firstLineChars="500"/>
        <w:rPr>
          <w:rFonts w:hint="eastAsia" w:ascii="宋体" w:hAnsi="宋体" w:eastAsia="宋体" w:cs="宋体"/>
          <w:color w:val="auto"/>
          <w:sz w:val="24"/>
          <w:highlight w:val="none"/>
        </w:rPr>
      </w:pPr>
    </w:p>
    <w:p w14:paraId="64E2061C">
      <w:pPr>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98E6519">
      <w:pPr>
        <w:pStyle w:val="25"/>
        <w:rPr>
          <w:rFonts w:hint="eastAsia" w:ascii="宋体" w:hAnsi="宋体" w:eastAsia="宋体" w:cs="宋体"/>
          <w:color w:val="auto"/>
          <w:highlight w:val="none"/>
        </w:rPr>
      </w:pPr>
    </w:p>
    <w:p w14:paraId="4C6EB9C7">
      <w:pPr>
        <w:pStyle w:val="25"/>
        <w:rPr>
          <w:rFonts w:hint="eastAsia" w:ascii="宋体" w:hAnsi="宋体" w:eastAsia="宋体" w:cs="宋体"/>
          <w:color w:val="auto"/>
          <w:highlight w:val="none"/>
        </w:rPr>
      </w:pPr>
    </w:p>
    <w:p w14:paraId="30DB42BD">
      <w:pPr>
        <w:pStyle w:val="25"/>
        <w:rPr>
          <w:rFonts w:hint="eastAsia" w:ascii="宋体" w:hAnsi="宋体" w:eastAsia="宋体" w:cs="宋体"/>
          <w:color w:val="auto"/>
          <w:highlight w:val="none"/>
        </w:rPr>
      </w:pPr>
    </w:p>
    <w:p w14:paraId="1BE55A5E">
      <w:pPr>
        <w:pStyle w:val="25"/>
        <w:rPr>
          <w:rFonts w:hint="eastAsia" w:ascii="宋体" w:hAnsi="宋体" w:eastAsia="宋体" w:cs="宋体"/>
          <w:color w:val="auto"/>
          <w:highlight w:val="none"/>
        </w:rPr>
      </w:pPr>
    </w:p>
    <w:p w14:paraId="1ED8DD1B">
      <w:pPr>
        <w:pStyle w:val="25"/>
        <w:rPr>
          <w:rFonts w:hint="eastAsia" w:ascii="宋体" w:hAnsi="宋体" w:eastAsia="宋体" w:cs="宋体"/>
          <w:color w:val="auto"/>
          <w:highlight w:val="none"/>
        </w:rPr>
      </w:pPr>
    </w:p>
    <w:p w14:paraId="416032FF">
      <w:pPr>
        <w:pStyle w:val="25"/>
        <w:rPr>
          <w:rFonts w:hint="eastAsia" w:ascii="宋体" w:hAnsi="宋体" w:eastAsia="宋体" w:cs="宋体"/>
          <w:color w:val="auto"/>
          <w:highlight w:val="none"/>
        </w:rPr>
      </w:pPr>
    </w:p>
    <w:p w14:paraId="6B4D45B9">
      <w:pPr>
        <w:pStyle w:val="25"/>
        <w:rPr>
          <w:rFonts w:hint="eastAsia" w:ascii="宋体" w:hAnsi="宋体" w:eastAsia="宋体" w:cs="宋体"/>
          <w:color w:val="auto"/>
          <w:highlight w:val="none"/>
        </w:rPr>
      </w:pPr>
    </w:p>
    <w:p w14:paraId="740841CB">
      <w:pPr>
        <w:pStyle w:val="25"/>
        <w:rPr>
          <w:rFonts w:hint="eastAsia" w:ascii="宋体" w:hAnsi="宋体" w:eastAsia="宋体" w:cs="宋体"/>
          <w:color w:val="auto"/>
          <w:highlight w:val="none"/>
        </w:rPr>
      </w:pPr>
    </w:p>
    <w:p w14:paraId="1BF6BE5A">
      <w:pPr>
        <w:pStyle w:val="25"/>
        <w:rPr>
          <w:rFonts w:hint="eastAsia" w:ascii="宋体" w:hAnsi="宋体" w:eastAsia="宋体" w:cs="宋体"/>
          <w:color w:val="auto"/>
          <w:highlight w:val="none"/>
        </w:rPr>
      </w:pPr>
    </w:p>
    <w:p w14:paraId="67E6C12F">
      <w:pPr>
        <w:pStyle w:val="25"/>
        <w:rPr>
          <w:rFonts w:hint="eastAsia" w:ascii="宋体" w:hAnsi="宋体" w:eastAsia="宋体" w:cs="宋体"/>
          <w:color w:val="auto"/>
          <w:highlight w:val="none"/>
        </w:rPr>
      </w:pPr>
    </w:p>
    <w:p w14:paraId="003A0FEB">
      <w:pPr>
        <w:pStyle w:val="25"/>
        <w:rPr>
          <w:rFonts w:hint="eastAsia" w:ascii="宋体" w:hAnsi="宋体" w:eastAsia="宋体" w:cs="宋体"/>
          <w:color w:val="auto"/>
          <w:highlight w:val="none"/>
        </w:rPr>
      </w:pPr>
    </w:p>
    <w:p w14:paraId="5D6426DA">
      <w:pPr>
        <w:pStyle w:val="25"/>
        <w:rPr>
          <w:rFonts w:hint="eastAsia" w:ascii="宋体" w:hAnsi="宋体" w:eastAsia="宋体" w:cs="宋体"/>
          <w:color w:val="auto"/>
          <w:highlight w:val="none"/>
        </w:rPr>
      </w:pPr>
    </w:p>
    <w:p w14:paraId="5C389E5F">
      <w:pPr>
        <w:pStyle w:val="25"/>
        <w:rPr>
          <w:rFonts w:hint="eastAsia" w:ascii="宋体" w:hAnsi="宋体" w:eastAsia="宋体" w:cs="宋体"/>
          <w:color w:val="auto"/>
          <w:highlight w:val="none"/>
        </w:rPr>
      </w:pPr>
    </w:p>
    <w:p w14:paraId="530CEBEE">
      <w:pPr>
        <w:pStyle w:val="25"/>
        <w:rPr>
          <w:rFonts w:hint="eastAsia" w:ascii="宋体" w:hAnsi="宋体" w:eastAsia="宋体" w:cs="宋体"/>
          <w:color w:val="auto"/>
          <w:highlight w:val="none"/>
        </w:rPr>
      </w:pPr>
    </w:p>
    <w:p w14:paraId="67156589">
      <w:pPr>
        <w:jc w:val="center"/>
        <w:outlineLvl w:val="1"/>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2.开标一览表</w:t>
      </w:r>
    </w:p>
    <w:tbl>
      <w:tblPr>
        <w:tblStyle w:val="20"/>
        <w:tblW w:w="9060" w:type="dxa"/>
        <w:tblInd w:w="0" w:type="dxa"/>
        <w:tblLayout w:type="fixed"/>
        <w:tblCellMar>
          <w:top w:w="0" w:type="dxa"/>
          <w:left w:w="0" w:type="dxa"/>
          <w:bottom w:w="0" w:type="dxa"/>
          <w:right w:w="0" w:type="dxa"/>
        </w:tblCellMar>
      </w:tblPr>
      <w:tblGrid>
        <w:gridCol w:w="2679"/>
        <w:gridCol w:w="6381"/>
      </w:tblGrid>
      <w:tr w14:paraId="2486C2E6">
        <w:tblPrEx>
          <w:tblCellMar>
            <w:top w:w="0" w:type="dxa"/>
            <w:left w:w="0" w:type="dxa"/>
            <w:bottom w:w="0" w:type="dxa"/>
            <w:right w:w="0" w:type="dxa"/>
          </w:tblCellMar>
        </w:tblPrEx>
        <w:trPr>
          <w:trHeight w:val="763" w:hRule="atLeast"/>
        </w:trPr>
        <w:tc>
          <w:tcPr>
            <w:tcW w:w="90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E533E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2240D5B5">
        <w:tblPrEx>
          <w:tblCellMar>
            <w:top w:w="0" w:type="dxa"/>
            <w:left w:w="0" w:type="dxa"/>
            <w:bottom w:w="0" w:type="dxa"/>
            <w:right w:w="0" w:type="dxa"/>
          </w:tblCellMar>
        </w:tblPrEx>
        <w:trPr>
          <w:trHeight w:val="763" w:hRule="atLeast"/>
        </w:trPr>
        <w:tc>
          <w:tcPr>
            <w:tcW w:w="90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4A3146">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东台市“十五五”供水规划项目</w:t>
            </w:r>
          </w:p>
        </w:tc>
      </w:tr>
      <w:tr w14:paraId="0BE050A4">
        <w:tblPrEx>
          <w:tblCellMar>
            <w:top w:w="0" w:type="dxa"/>
            <w:left w:w="0" w:type="dxa"/>
            <w:bottom w:w="0" w:type="dxa"/>
            <w:right w:w="0" w:type="dxa"/>
          </w:tblCellMar>
        </w:tblPrEx>
        <w:trPr>
          <w:trHeight w:val="784" w:hRule="atLeast"/>
        </w:trPr>
        <w:tc>
          <w:tcPr>
            <w:tcW w:w="26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65475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63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5A4930">
            <w:pPr>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大写：人民币                     ¥：     元</w:t>
            </w:r>
          </w:p>
        </w:tc>
      </w:tr>
    </w:tbl>
    <w:p w14:paraId="4CFCECCB">
      <w:pPr>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磋商报价应包括完成合同范围的全部工作内容所发生的全部费用、人工、管理、财务、培训、后续服务等所有费用，如一旦中标，在项目实施中出现任何遗漏，均由成交供应商免费提供，采购人不再支付任何费用。</w:t>
      </w:r>
    </w:p>
    <w:p w14:paraId="05410B52">
      <w:pPr>
        <w:ind w:firstLine="420" w:firstLineChars="175"/>
        <w:rPr>
          <w:rFonts w:hint="eastAsia" w:ascii="宋体" w:hAnsi="宋体" w:eastAsia="宋体" w:cs="宋体"/>
          <w:color w:val="auto"/>
          <w:sz w:val="24"/>
          <w:szCs w:val="24"/>
          <w:highlight w:val="none"/>
        </w:rPr>
      </w:pPr>
    </w:p>
    <w:p w14:paraId="40A309A9">
      <w:pPr>
        <w:rPr>
          <w:rFonts w:hint="eastAsia" w:ascii="宋体" w:hAnsi="宋体" w:eastAsia="宋体" w:cs="宋体"/>
          <w:color w:val="auto"/>
          <w:sz w:val="24"/>
          <w:szCs w:val="24"/>
          <w:highlight w:val="none"/>
        </w:rPr>
      </w:pPr>
    </w:p>
    <w:p w14:paraId="6C16AFB2">
      <w:pPr>
        <w:ind w:firstLine="16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1C636AB">
      <w:pPr>
        <w:ind w:firstLine="1680"/>
        <w:rPr>
          <w:rFonts w:hint="eastAsia" w:ascii="宋体" w:hAnsi="宋体" w:eastAsia="宋体" w:cs="宋体"/>
          <w:color w:val="auto"/>
          <w:sz w:val="24"/>
          <w:szCs w:val="24"/>
          <w:highlight w:val="none"/>
        </w:rPr>
      </w:pPr>
      <w:bookmarkStart w:id="10" w:name="OLE_LINK6"/>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p>
    <w:p w14:paraId="71A21398">
      <w:pPr>
        <w:ind w:firstLine="1680"/>
        <w:rPr>
          <w:rFonts w:hint="eastAsia" w:ascii="宋体" w:hAnsi="宋体" w:eastAsia="宋体" w:cs="宋体"/>
          <w:color w:val="auto"/>
          <w:sz w:val="24"/>
          <w:szCs w:val="24"/>
          <w:highlight w:val="none"/>
        </w:rPr>
      </w:pPr>
    </w:p>
    <w:p w14:paraId="1103F597">
      <w:pPr>
        <w:ind w:firstLine="1680" w:firstLineChars="700"/>
        <w:rPr>
          <w:rFonts w:hint="eastAsia" w:ascii="宋体" w:hAnsi="宋体" w:eastAsia="宋体" w:cs="宋体"/>
          <w:color w:val="auto"/>
          <w:sz w:val="24"/>
          <w:szCs w:val="24"/>
          <w:highlight w:val="none"/>
        </w:rPr>
      </w:pPr>
    </w:p>
    <w:p w14:paraId="6C49E261">
      <w:pPr>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供应商（盖单位公章）：</w:t>
      </w:r>
      <w:r>
        <w:rPr>
          <w:rFonts w:hint="eastAsia" w:ascii="宋体" w:hAnsi="宋体" w:eastAsia="宋体" w:cs="宋体"/>
          <w:color w:val="auto"/>
          <w:sz w:val="24"/>
          <w:szCs w:val="24"/>
          <w:highlight w:val="none"/>
          <w:u w:val="single"/>
        </w:rPr>
        <w:t xml:space="preserve">               </w:t>
      </w:r>
    </w:p>
    <w:p w14:paraId="6B12C285">
      <w:pPr>
        <w:wordWrap w:val="0"/>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74A1E13">
      <w:pPr>
        <w:wordWrap w:val="0"/>
        <w:ind w:firstLine="1200" w:firstLineChars="500"/>
        <w:rPr>
          <w:rFonts w:hint="eastAsia" w:ascii="宋体" w:hAnsi="宋体" w:eastAsia="宋体" w:cs="宋体"/>
          <w:color w:val="auto"/>
          <w:sz w:val="24"/>
          <w:szCs w:val="24"/>
          <w:highlight w:val="none"/>
        </w:rPr>
      </w:pPr>
    </w:p>
    <w:p w14:paraId="0DBFFF97">
      <w:pPr>
        <w:wordWrap w:val="0"/>
        <w:ind w:firstLine="1200" w:firstLineChars="500"/>
        <w:rPr>
          <w:rFonts w:hint="eastAsia" w:ascii="宋体" w:hAnsi="宋体" w:eastAsia="宋体" w:cs="宋体"/>
          <w:color w:val="auto"/>
          <w:sz w:val="24"/>
          <w:szCs w:val="24"/>
          <w:highlight w:val="none"/>
        </w:rPr>
      </w:pPr>
    </w:p>
    <w:p w14:paraId="2E6D7DD1">
      <w:pPr>
        <w:wordWrap w:val="0"/>
        <w:ind w:firstLine="1200" w:firstLineChars="500"/>
        <w:rPr>
          <w:rFonts w:hint="eastAsia" w:ascii="宋体" w:hAnsi="宋体" w:eastAsia="宋体" w:cs="宋体"/>
          <w:color w:val="auto"/>
          <w:sz w:val="24"/>
          <w:szCs w:val="24"/>
          <w:highlight w:val="none"/>
        </w:rPr>
      </w:pPr>
    </w:p>
    <w:p w14:paraId="79D8152B">
      <w:pPr>
        <w:wordWrap w:val="0"/>
        <w:ind w:firstLine="1200" w:firstLineChars="500"/>
        <w:rPr>
          <w:rFonts w:hint="eastAsia" w:ascii="宋体" w:hAnsi="宋体" w:eastAsia="宋体" w:cs="宋体"/>
          <w:color w:val="auto"/>
          <w:sz w:val="24"/>
          <w:szCs w:val="24"/>
          <w:highlight w:val="none"/>
        </w:rPr>
      </w:pPr>
    </w:p>
    <w:p w14:paraId="6A1E7FD9">
      <w:pPr>
        <w:wordWrap w:val="0"/>
        <w:ind w:firstLine="1200" w:firstLineChars="500"/>
        <w:rPr>
          <w:rFonts w:hint="eastAsia" w:ascii="宋体" w:hAnsi="宋体" w:eastAsia="宋体" w:cs="宋体"/>
          <w:color w:val="auto"/>
          <w:sz w:val="24"/>
          <w:szCs w:val="24"/>
          <w:highlight w:val="none"/>
        </w:rPr>
      </w:pPr>
    </w:p>
    <w:p w14:paraId="4A8268E5">
      <w:pPr>
        <w:wordWrap w:val="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End w:id="10"/>
      <w:r>
        <w:rPr>
          <w:rFonts w:hint="eastAsia" w:ascii="宋体" w:hAnsi="宋体" w:eastAsia="宋体" w:cs="宋体"/>
          <w:color w:val="auto"/>
          <w:sz w:val="24"/>
          <w:szCs w:val="24"/>
          <w:highlight w:val="none"/>
        </w:rPr>
        <w:t xml:space="preserve">       </w:t>
      </w:r>
    </w:p>
    <w:p w14:paraId="04DC7989">
      <w:pPr>
        <w:jc w:val="center"/>
        <w:outlineLvl w:val="1"/>
        <w:rPr>
          <w:rFonts w:hint="eastAsia" w:ascii="宋体" w:hAnsi="宋体" w:eastAsia="宋体" w:cs="宋体"/>
          <w:color w:val="auto"/>
          <w:sz w:val="24"/>
          <w:szCs w:val="24"/>
          <w:highlight w:val="none"/>
        </w:rPr>
      </w:pPr>
    </w:p>
    <w:p w14:paraId="5927E2C7">
      <w:pPr>
        <w:pStyle w:val="25"/>
        <w:rPr>
          <w:rFonts w:hint="eastAsia" w:ascii="宋体" w:hAnsi="宋体" w:eastAsia="宋体" w:cs="宋体"/>
          <w:color w:val="auto"/>
          <w:highlight w:val="none"/>
        </w:rPr>
      </w:pPr>
    </w:p>
    <w:p w14:paraId="498D2B85">
      <w:pPr>
        <w:pStyle w:val="25"/>
        <w:rPr>
          <w:rFonts w:hint="eastAsia" w:ascii="宋体" w:hAnsi="宋体" w:eastAsia="宋体" w:cs="宋体"/>
          <w:color w:val="auto"/>
          <w:highlight w:val="none"/>
        </w:rPr>
      </w:pPr>
    </w:p>
    <w:p w14:paraId="02A56E81">
      <w:pPr>
        <w:pStyle w:val="25"/>
        <w:rPr>
          <w:rFonts w:hint="eastAsia" w:ascii="宋体" w:hAnsi="宋体" w:eastAsia="宋体" w:cs="宋体"/>
          <w:color w:val="auto"/>
          <w:highlight w:val="none"/>
        </w:rPr>
      </w:pPr>
    </w:p>
    <w:p w14:paraId="7DB51712">
      <w:pPr>
        <w:pStyle w:val="25"/>
        <w:rPr>
          <w:rFonts w:hint="eastAsia" w:ascii="宋体" w:hAnsi="宋体" w:eastAsia="宋体" w:cs="宋体"/>
          <w:color w:val="auto"/>
          <w:highlight w:val="none"/>
        </w:rPr>
      </w:pPr>
    </w:p>
    <w:p w14:paraId="7AED1BFA">
      <w:pPr>
        <w:pStyle w:val="25"/>
        <w:rPr>
          <w:rFonts w:hint="eastAsia" w:ascii="宋体" w:hAnsi="宋体" w:eastAsia="宋体" w:cs="宋体"/>
          <w:color w:val="auto"/>
          <w:highlight w:val="none"/>
        </w:rPr>
      </w:pPr>
    </w:p>
    <w:p w14:paraId="0AA90A1C">
      <w:pPr>
        <w:pStyle w:val="25"/>
        <w:rPr>
          <w:rFonts w:hint="eastAsia" w:ascii="宋体" w:hAnsi="宋体" w:eastAsia="宋体" w:cs="宋体"/>
          <w:color w:val="auto"/>
          <w:highlight w:val="none"/>
        </w:rPr>
      </w:pPr>
    </w:p>
    <w:p w14:paraId="4E17451A">
      <w:pPr>
        <w:pStyle w:val="25"/>
        <w:rPr>
          <w:rFonts w:hint="eastAsia" w:ascii="宋体" w:hAnsi="宋体" w:eastAsia="宋体" w:cs="宋体"/>
          <w:color w:val="auto"/>
          <w:highlight w:val="none"/>
        </w:rPr>
      </w:pPr>
    </w:p>
    <w:p w14:paraId="2ED8F1F8">
      <w:pPr>
        <w:pStyle w:val="25"/>
        <w:rPr>
          <w:rFonts w:hint="eastAsia" w:ascii="宋体" w:hAnsi="宋体" w:eastAsia="宋体" w:cs="宋体"/>
          <w:color w:val="auto"/>
          <w:highlight w:val="none"/>
        </w:rPr>
      </w:pPr>
    </w:p>
    <w:p w14:paraId="4CD4AE3B">
      <w:pPr>
        <w:pStyle w:val="25"/>
        <w:rPr>
          <w:rFonts w:hint="eastAsia" w:ascii="宋体" w:hAnsi="宋体" w:eastAsia="宋体" w:cs="宋体"/>
          <w:color w:val="auto"/>
          <w:highlight w:val="none"/>
        </w:rPr>
      </w:pPr>
    </w:p>
    <w:p w14:paraId="35AA14D5">
      <w:pPr>
        <w:pStyle w:val="25"/>
        <w:rPr>
          <w:rFonts w:hint="eastAsia" w:ascii="宋体" w:hAnsi="宋体" w:eastAsia="宋体" w:cs="宋体"/>
          <w:color w:val="auto"/>
          <w:highlight w:val="none"/>
        </w:rPr>
      </w:pPr>
    </w:p>
    <w:p w14:paraId="36FC46C1">
      <w:pPr>
        <w:pStyle w:val="25"/>
        <w:rPr>
          <w:rFonts w:hint="eastAsia" w:ascii="宋体" w:hAnsi="宋体" w:eastAsia="宋体" w:cs="宋体"/>
          <w:color w:val="auto"/>
          <w:highlight w:val="none"/>
        </w:rPr>
      </w:pPr>
    </w:p>
    <w:p w14:paraId="3497DCD7">
      <w:pPr>
        <w:pStyle w:val="25"/>
        <w:rPr>
          <w:rFonts w:hint="eastAsia" w:ascii="宋体" w:hAnsi="宋体" w:eastAsia="宋体" w:cs="宋体"/>
          <w:color w:val="auto"/>
          <w:highlight w:val="none"/>
        </w:rPr>
      </w:pPr>
    </w:p>
    <w:p w14:paraId="713CA1A7">
      <w:pPr>
        <w:pStyle w:val="25"/>
        <w:rPr>
          <w:rFonts w:hint="eastAsia" w:ascii="宋体" w:hAnsi="宋体" w:eastAsia="宋体" w:cs="宋体"/>
          <w:color w:val="auto"/>
          <w:highlight w:val="none"/>
        </w:rPr>
      </w:pPr>
    </w:p>
    <w:p w14:paraId="5EF6E596">
      <w:pPr>
        <w:pStyle w:val="25"/>
        <w:rPr>
          <w:rFonts w:hint="eastAsia" w:ascii="宋体" w:hAnsi="宋体" w:eastAsia="宋体" w:cs="宋体"/>
          <w:color w:val="auto"/>
          <w:highlight w:val="none"/>
        </w:rPr>
      </w:pPr>
    </w:p>
    <w:p w14:paraId="49095F18">
      <w:pPr>
        <w:pStyle w:val="25"/>
        <w:rPr>
          <w:rFonts w:hint="eastAsia" w:ascii="宋体" w:hAnsi="宋体" w:eastAsia="宋体" w:cs="宋体"/>
          <w:color w:val="auto"/>
          <w:highlight w:val="none"/>
        </w:rPr>
      </w:pPr>
    </w:p>
    <w:p w14:paraId="4C2917ED">
      <w:pPr>
        <w:pStyle w:val="25"/>
        <w:rPr>
          <w:rFonts w:hint="eastAsia" w:ascii="宋体" w:hAnsi="宋体" w:eastAsia="宋体" w:cs="宋体"/>
          <w:color w:val="auto"/>
          <w:highlight w:val="none"/>
        </w:rPr>
      </w:pPr>
    </w:p>
    <w:p w14:paraId="49985605">
      <w:pPr>
        <w:pStyle w:val="25"/>
        <w:rPr>
          <w:rFonts w:hint="eastAsia" w:ascii="宋体" w:hAnsi="宋体" w:eastAsia="宋体" w:cs="宋体"/>
          <w:color w:val="auto"/>
          <w:highlight w:val="none"/>
        </w:rPr>
      </w:pPr>
    </w:p>
    <w:p w14:paraId="1DCC4486">
      <w:pPr>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3.法定代表人身份证明书</w:t>
      </w:r>
    </w:p>
    <w:p w14:paraId="3E7E2C73">
      <w:pPr>
        <w:jc w:val="center"/>
        <w:rPr>
          <w:rFonts w:hint="eastAsia" w:ascii="宋体" w:hAnsi="宋体" w:eastAsia="宋体" w:cs="宋体"/>
          <w:b/>
          <w:bCs/>
          <w:color w:val="auto"/>
          <w:sz w:val="28"/>
          <w:szCs w:val="28"/>
          <w:highlight w:val="none"/>
        </w:rPr>
      </w:pPr>
    </w:p>
    <w:p w14:paraId="62FC108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：（招标人名称）</w:t>
      </w:r>
    </w:p>
    <w:p w14:paraId="62828F9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（法定代表人姓名）</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 xml:space="preserve"> 任</w:t>
      </w:r>
      <w:r>
        <w:rPr>
          <w:rFonts w:hint="eastAsia" w:ascii="宋体" w:hAnsi="宋体" w:eastAsia="宋体" w:cs="宋体"/>
          <w:color w:val="auto"/>
          <w:sz w:val="24"/>
          <w:szCs w:val="24"/>
          <w:highlight w:val="none"/>
          <w:u w:val="single"/>
        </w:rPr>
        <w:t>（职务名称）</w:t>
      </w:r>
      <w:r>
        <w:rPr>
          <w:rFonts w:hint="eastAsia" w:ascii="宋体" w:hAnsi="宋体" w:eastAsia="宋体" w:cs="宋体"/>
          <w:color w:val="auto"/>
          <w:sz w:val="24"/>
          <w:szCs w:val="24"/>
          <w:highlight w:val="none"/>
        </w:rPr>
        <w:t>职务，是</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highlight w:val="none"/>
        </w:rPr>
        <w:t>，联系电话（手机号码）：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w:t>
      </w:r>
    </w:p>
    <w:p w14:paraId="35341D38">
      <w:pPr>
        <w:rPr>
          <w:rFonts w:hint="eastAsia" w:ascii="宋体" w:hAnsi="宋体" w:eastAsia="宋体" w:cs="宋体"/>
          <w:color w:val="auto"/>
          <w:sz w:val="24"/>
          <w:szCs w:val="24"/>
          <w:highlight w:val="none"/>
        </w:rPr>
      </w:pPr>
    </w:p>
    <w:p w14:paraId="7F5D4AF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DE41EEA">
      <w:pPr>
        <w:ind w:firstLine="480" w:firstLineChars="200"/>
        <w:rPr>
          <w:rFonts w:hint="eastAsia" w:ascii="宋体" w:hAnsi="宋体" w:eastAsia="宋体" w:cs="宋体"/>
          <w:color w:val="auto"/>
          <w:sz w:val="24"/>
          <w:szCs w:val="24"/>
          <w:highlight w:val="none"/>
        </w:rPr>
      </w:pPr>
    </w:p>
    <w:p w14:paraId="6E99EE39">
      <w:pPr>
        <w:ind w:firstLine="480" w:firstLineChars="200"/>
        <w:rPr>
          <w:rFonts w:hint="eastAsia" w:ascii="宋体" w:hAnsi="宋体" w:eastAsia="宋体" w:cs="宋体"/>
          <w:color w:val="auto"/>
          <w:sz w:val="24"/>
          <w:szCs w:val="24"/>
          <w:highlight w:val="none"/>
        </w:rPr>
      </w:pPr>
    </w:p>
    <w:p w14:paraId="66C9209B">
      <w:pPr>
        <w:rPr>
          <w:rFonts w:hint="eastAsia" w:ascii="宋体" w:hAnsi="宋体" w:eastAsia="宋体" w:cs="宋体"/>
          <w:color w:val="auto"/>
          <w:sz w:val="24"/>
          <w:szCs w:val="24"/>
          <w:highlight w:val="none"/>
        </w:rPr>
      </w:pPr>
    </w:p>
    <w:p w14:paraId="5494F5BC">
      <w:pPr>
        <w:rPr>
          <w:rFonts w:hint="eastAsia" w:ascii="宋体" w:hAnsi="宋体" w:eastAsia="宋体" w:cs="宋体"/>
          <w:color w:val="auto"/>
          <w:sz w:val="24"/>
          <w:szCs w:val="24"/>
          <w:highlight w:val="none"/>
        </w:rPr>
      </w:pPr>
    </w:p>
    <w:p w14:paraId="221DBB8D">
      <w:pPr>
        <w:wordWrap w:val="0"/>
        <w:ind w:firstLine="2160" w:firstLineChars="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供应商（盖单位公章）      </w:t>
      </w:r>
    </w:p>
    <w:p w14:paraId="205CE297">
      <w:pPr>
        <w:wordWrap w:val="0"/>
        <w:ind w:firstLine="1200" w:firstLineChars="500"/>
        <w:rPr>
          <w:rFonts w:hint="eastAsia" w:ascii="宋体" w:hAnsi="宋体" w:eastAsia="宋体" w:cs="宋体"/>
          <w:color w:val="auto"/>
          <w:sz w:val="24"/>
          <w:szCs w:val="24"/>
          <w:highlight w:val="none"/>
        </w:rPr>
      </w:pPr>
    </w:p>
    <w:p w14:paraId="3453D936">
      <w:pPr>
        <w:wordWrap w:val="0"/>
        <w:ind w:firstLine="1200" w:firstLineChars="500"/>
        <w:rPr>
          <w:rFonts w:hint="eastAsia" w:ascii="宋体" w:hAnsi="宋体" w:eastAsia="宋体" w:cs="宋体"/>
          <w:color w:val="auto"/>
          <w:sz w:val="24"/>
          <w:szCs w:val="24"/>
          <w:highlight w:val="none"/>
        </w:rPr>
      </w:pPr>
    </w:p>
    <w:p w14:paraId="3C07A04B">
      <w:pPr>
        <w:wordWrap w:val="0"/>
        <w:ind w:firstLine="1200" w:firstLineChars="500"/>
        <w:rPr>
          <w:rFonts w:hint="eastAsia" w:ascii="宋体" w:hAnsi="宋体" w:eastAsia="宋体" w:cs="宋体"/>
          <w:color w:val="auto"/>
          <w:sz w:val="24"/>
          <w:szCs w:val="24"/>
          <w:highlight w:val="none"/>
        </w:rPr>
      </w:pPr>
    </w:p>
    <w:p w14:paraId="6CD666BE">
      <w:pPr>
        <w:ind w:firstLine="2126" w:firstLineChars="886"/>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753FA782">
      <w:pPr>
        <w:ind w:firstLine="2126" w:firstLineChars="886"/>
        <w:rPr>
          <w:rFonts w:hint="eastAsia" w:ascii="宋体" w:hAnsi="宋体" w:eastAsia="宋体" w:cs="宋体"/>
          <w:color w:val="auto"/>
          <w:sz w:val="24"/>
          <w:szCs w:val="24"/>
          <w:highlight w:val="none"/>
        </w:rPr>
      </w:pPr>
    </w:p>
    <w:p w14:paraId="3DC6AFF1">
      <w:pPr>
        <w:ind w:firstLine="2126" w:firstLineChars="886"/>
        <w:rPr>
          <w:rFonts w:hint="eastAsia" w:ascii="宋体" w:hAnsi="宋体" w:eastAsia="宋体" w:cs="宋体"/>
          <w:color w:val="auto"/>
          <w:sz w:val="24"/>
          <w:szCs w:val="24"/>
          <w:highlight w:val="none"/>
        </w:rPr>
      </w:pPr>
    </w:p>
    <w:p w14:paraId="33A74B2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7D77E64F">
      <w:pPr>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br w:type="page"/>
      </w:r>
      <w:bookmarkStart w:id="11" w:name="_Toc8041"/>
      <w:r>
        <w:rPr>
          <w:rFonts w:hint="eastAsia" w:ascii="宋体" w:hAnsi="宋体" w:eastAsia="宋体" w:cs="宋体"/>
          <w:color w:val="auto"/>
          <w:sz w:val="24"/>
          <w:szCs w:val="24"/>
          <w:highlight w:val="none"/>
        </w:rPr>
        <w:t>4</w:t>
      </w:r>
      <w:r>
        <w:rPr>
          <w:rFonts w:hint="eastAsia" w:ascii="宋体" w:hAnsi="宋体" w:eastAsia="宋体" w:cs="宋体"/>
          <w:color w:val="auto"/>
          <w:sz w:val="28"/>
          <w:szCs w:val="28"/>
          <w:highlight w:val="none"/>
        </w:rPr>
        <w:t>.响应文件签署授权委托书</w:t>
      </w:r>
      <w:bookmarkEnd w:id="11"/>
    </w:p>
    <w:p w14:paraId="07503B1B">
      <w:pPr>
        <w:jc w:val="center"/>
        <w:rPr>
          <w:rFonts w:hint="eastAsia" w:ascii="宋体" w:hAnsi="宋体" w:eastAsia="宋体" w:cs="宋体"/>
          <w:b/>
          <w:bCs/>
          <w:color w:val="auto"/>
          <w:sz w:val="28"/>
          <w:szCs w:val="28"/>
          <w:highlight w:val="none"/>
        </w:rPr>
      </w:pPr>
    </w:p>
    <w:p w14:paraId="4E80BDFE">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 xml:space="preserve"> 的法定代表人，现授权</w:t>
      </w:r>
      <w:r>
        <w:rPr>
          <w:rFonts w:hint="eastAsia" w:ascii="宋体" w:hAnsi="宋体" w:eastAsia="宋体" w:cs="宋体"/>
          <w:color w:val="auto"/>
          <w:sz w:val="24"/>
          <w:szCs w:val="24"/>
          <w:highlight w:val="none"/>
          <w:u w:val="single"/>
        </w:rPr>
        <w:t xml:space="preserve">         （供应商名称）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为我公司签署本项目的响应文件的法定代表人授权委托代理，我承认被授权人全权代表我所签署的本项目的响应文件的内容。</w:t>
      </w:r>
    </w:p>
    <w:p w14:paraId="0F08BCA6">
      <w:pPr>
        <w:rPr>
          <w:rFonts w:hint="eastAsia" w:ascii="宋体" w:hAnsi="宋体" w:eastAsia="宋体" w:cs="宋体"/>
          <w:color w:val="auto"/>
          <w:sz w:val="24"/>
          <w:szCs w:val="24"/>
          <w:highlight w:val="none"/>
        </w:rPr>
      </w:pPr>
    </w:p>
    <w:p w14:paraId="331FD77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65FA245C">
      <w:pPr>
        <w:ind w:firstLine="480" w:firstLineChars="200"/>
        <w:rPr>
          <w:rFonts w:hint="eastAsia" w:ascii="宋体" w:hAnsi="宋体" w:eastAsia="宋体" w:cs="宋体"/>
          <w:color w:val="auto"/>
          <w:sz w:val="24"/>
          <w:szCs w:val="24"/>
          <w:highlight w:val="none"/>
        </w:rPr>
      </w:pPr>
    </w:p>
    <w:p w14:paraId="67F13D30">
      <w:pPr>
        <w:ind w:firstLine="480" w:firstLineChars="200"/>
        <w:rPr>
          <w:rFonts w:hint="eastAsia" w:ascii="宋体" w:hAnsi="宋体" w:eastAsia="宋体" w:cs="宋体"/>
          <w:color w:val="auto"/>
          <w:sz w:val="24"/>
          <w:szCs w:val="24"/>
          <w:highlight w:val="none"/>
        </w:rPr>
      </w:pPr>
    </w:p>
    <w:p w14:paraId="565100CC">
      <w:pPr>
        <w:rPr>
          <w:rFonts w:hint="eastAsia" w:ascii="宋体" w:hAnsi="宋体" w:eastAsia="宋体" w:cs="宋体"/>
          <w:color w:val="auto"/>
          <w:sz w:val="24"/>
          <w:szCs w:val="24"/>
          <w:highlight w:val="none"/>
        </w:rPr>
      </w:pPr>
    </w:p>
    <w:p w14:paraId="0E580E16">
      <w:pPr>
        <w:ind w:firstLine="2126" w:firstLineChars="88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p>
    <w:p w14:paraId="0C34FCBC">
      <w:pPr>
        <w:ind w:firstLine="2126" w:firstLineChars="886"/>
        <w:rPr>
          <w:rFonts w:hint="eastAsia" w:ascii="宋体" w:hAnsi="宋体" w:eastAsia="宋体" w:cs="宋体"/>
          <w:color w:val="auto"/>
          <w:sz w:val="24"/>
          <w:szCs w:val="24"/>
          <w:highlight w:val="none"/>
          <w:u w:val="single"/>
        </w:rPr>
      </w:pPr>
    </w:p>
    <w:p w14:paraId="6285DA77">
      <w:pPr>
        <w:ind w:firstLine="2126" w:firstLineChars="88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4187DE94">
      <w:pPr>
        <w:ind w:firstLine="2126" w:firstLineChars="886"/>
        <w:rPr>
          <w:rFonts w:hint="eastAsia" w:ascii="宋体" w:hAnsi="宋体" w:eastAsia="宋体" w:cs="宋体"/>
          <w:color w:val="auto"/>
          <w:sz w:val="24"/>
          <w:szCs w:val="24"/>
          <w:highlight w:val="none"/>
          <w:u w:val="single"/>
        </w:rPr>
      </w:pPr>
    </w:p>
    <w:p w14:paraId="276F9682">
      <w:pPr>
        <w:ind w:firstLine="2126" w:firstLineChars="8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3347C720">
      <w:pPr>
        <w:ind w:firstLine="2126" w:firstLineChars="886"/>
        <w:rPr>
          <w:rFonts w:hint="eastAsia" w:ascii="宋体" w:hAnsi="宋体" w:eastAsia="宋体" w:cs="宋体"/>
          <w:color w:val="auto"/>
          <w:sz w:val="24"/>
          <w:szCs w:val="24"/>
          <w:highlight w:val="none"/>
        </w:rPr>
      </w:pPr>
    </w:p>
    <w:p w14:paraId="44D697AD">
      <w:pPr>
        <w:ind w:firstLine="2126" w:firstLineChars="88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E22AF6F">
      <w:pPr>
        <w:ind w:firstLine="2126" w:firstLineChars="886"/>
        <w:rPr>
          <w:rFonts w:hint="eastAsia" w:ascii="宋体" w:hAnsi="宋体" w:eastAsia="宋体" w:cs="宋体"/>
          <w:color w:val="auto"/>
          <w:sz w:val="24"/>
          <w:szCs w:val="24"/>
          <w:highlight w:val="none"/>
          <w:u w:val="single"/>
        </w:rPr>
      </w:pPr>
    </w:p>
    <w:p w14:paraId="6672B0B4">
      <w:pPr>
        <w:ind w:firstLine="2126" w:firstLineChars="8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6E25AF6">
      <w:pPr>
        <w:ind w:firstLine="2126" w:firstLineChars="886"/>
        <w:rPr>
          <w:rFonts w:hint="eastAsia" w:ascii="宋体" w:hAnsi="宋体" w:eastAsia="宋体" w:cs="宋体"/>
          <w:color w:val="auto"/>
          <w:sz w:val="24"/>
          <w:szCs w:val="24"/>
          <w:highlight w:val="none"/>
          <w:u w:val="single"/>
        </w:rPr>
      </w:pPr>
    </w:p>
    <w:p w14:paraId="18E75195">
      <w:pPr>
        <w:ind w:firstLine="2126" w:firstLineChars="88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（手机号码）</w:t>
      </w:r>
    </w:p>
    <w:p w14:paraId="1FCBE4E3">
      <w:pPr>
        <w:ind w:firstLine="2126" w:firstLineChars="886"/>
        <w:rPr>
          <w:rFonts w:hint="eastAsia" w:ascii="宋体" w:hAnsi="宋体" w:eastAsia="宋体" w:cs="宋体"/>
          <w:color w:val="auto"/>
          <w:sz w:val="24"/>
          <w:szCs w:val="24"/>
          <w:highlight w:val="none"/>
        </w:rPr>
      </w:pPr>
    </w:p>
    <w:p w14:paraId="49F5F32E">
      <w:pPr>
        <w:ind w:firstLine="2126" w:firstLineChars="886"/>
        <w:rPr>
          <w:rFonts w:hint="eastAsia" w:ascii="宋体" w:hAnsi="宋体" w:eastAsia="宋体" w:cs="宋体"/>
          <w:color w:val="auto"/>
          <w:sz w:val="24"/>
          <w:szCs w:val="24"/>
          <w:highlight w:val="none"/>
        </w:rPr>
      </w:pPr>
    </w:p>
    <w:p w14:paraId="0C9BA05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7CC117C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66C0648">
      <w:pPr>
        <w:jc w:val="center"/>
        <w:outlineLvl w:val="1"/>
        <w:rPr>
          <w:rFonts w:hint="eastAsia" w:ascii="宋体" w:hAnsi="宋体" w:eastAsia="宋体" w:cs="宋体"/>
          <w:color w:val="auto"/>
          <w:sz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highlight w:val="none"/>
        </w:rPr>
        <w:t>磋 商 响 应 函</w:t>
      </w:r>
    </w:p>
    <w:p w14:paraId="4DF0CEB7">
      <w:pPr>
        <w:jc w:val="center"/>
        <w:rPr>
          <w:rFonts w:hint="eastAsia" w:ascii="宋体" w:hAnsi="宋体" w:eastAsia="宋体" w:cs="宋体"/>
          <w:b/>
          <w:color w:val="auto"/>
          <w:sz w:val="24"/>
          <w:highlight w:val="none"/>
        </w:rPr>
      </w:pPr>
    </w:p>
    <w:p w14:paraId="19777443">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347E483D">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根据贵方</w:t>
      </w:r>
      <w:r>
        <w:rPr>
          <w:rFonts w:hint="eastAsia" w:ascii="宋体" w:hAnsi="宋体" w:eastAsia="宋体" w:cs="宋体"/>
          <w:color w:val="auto"/>
          <w:sz w:val="24"/>
          <w:highlight w:val="none"/>
          <w:u w:val="single"/>
        </w:rPr>
        <w:t xml:space="preserve">            项目</w:t>
      </w:r>
      <w:r>
        <w:rPr>
          <w:rFonts w:hint="eastAsia" w:ascii="宋体" w:hAnsi="宋体" w:eastAsia="宋体" w:cs="宋体"/>
          <w:color w:val="auto"/>
          <w:sz w:val="24"/>
          <w:highlight w:val="none"/>
        </w:rPr>
        <w:t>磋商文件，正式授权下述签字人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（姓名）代表我方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（供应商名称），全权处理本次项目磋商的有关事宜。</w:t>
      </w:r>
    </w:p>
    <w:p w14:paraId="7A50D6F0">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签字人兹宣布同意如下：</w:t>
      </w:r>
    </w:p>
    <w:p w14:paraId="6BCF96C2">
      <w:pPr>
        <w:numPr>
          <w:ilvl w:val="0"/>
          <w:numId w:val="10"/>
        </w:num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按磋商文件规定的各项要求，向买方提供所需服务。</w:t>
      </w:r>
    </w:p>
    <w:p w14:paraId="1430AEE5">
      <w:pPr>
        <w:numPr>
          <w:ilvl w:val="0"/>
          <w:numId w:val="10"/>
        </w:num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我们完全理解贵方不一定将合同授予最低报价的供应商。</w:t>
      </w:r>
    </w:p>
    <w:p w14:paraId="3CC09310">
      <w:pPr>
        <w:numPr>
          <w:ilvl w:val="0"/>
          <w:numId w:val="10"/>
        </w:num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我们已详细审核全部磋商文件及其有效补充文件，我们知道必须放弃提出含糊不清或误解问题的权利。</w:t>
      </w:r>
    </w:p>
    <w:p w14:paraId="31491D53">
      <w:pPr>
        <w:numPr>
          <w:ilvl w:val="0"/>
          <w:numId w:val="10"/>
        </w:num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我们同意从规定的响应文件提交截止时间起遵循本响应文件，具有约束力。</w:t>
      </w:r>
    </w:p>
    <w:p w14:paraId="0630D1FA">
      <w:pPr>
        <w:numPr>
          <w:ilvl w:val="0"/>
          <w:numId w:val="10"/>
        </w:num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如果在提交响应文件截止时间后撤回响应文件或成交后拒绝签订合同，我们的磋商保证金可不予退还。</w:t>
      </w:r>
    </w:p>
    <w:p w14:paraId="57FFE582">
      <w:pPr>
        <w:numPr>
          <w:ilvl w:val="0"/>
          <w:numId w:val="10"/>
        </w:num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同意向贵方提供贵方可能另外要求的与磋商有关的任何证据或资料，并保证我方已提供的文件是真实的、准确的。</w:t>
      </w:r>
    </w:p>
    <w:p w14:paraId="2216A6DE">
      <w:pPr>
        <w:numPr>
          <w:ilvl w:val="0"/>
          <w:numId w:val="10"/>
        </w:num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一旦我方成交，我方将根据磋商文件的规定，严格履行合同的责任和义务，并保证在磋商文件规定的时间要求完成项目。</w:t>
      </w:r>
    </w:p>
    <w:p w14:paraId="73E02EE3">
      <w:pPr>
        <w:numPr>
          <w:ilvl w:val="0"/>
          <w:numId w:val="10"/>
        </w:num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与本磋商有关的正式通讯地址为：</w:t>
      </w:r>
    </w:p>
    <w:p w14:paraId="0421F812">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24054288">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p w14:paraId="019FD477">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电话：（手机号码）</w:t>
      </w:r>
    </w:p>
    <w:p w14:paraId="47B3180E">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14:paraId="5166B497">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供应商开户行：</w:t>
      </w:r>
    </w:p>
    <w:p w14:paraId="2A246ABD">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账户：</w:t>
      </w:r>
    </w:p>
    <w:p w14:paraId="6C578848">
      <w:pPr>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9CF6DB8">
      <w:pPr>
        <w:ind w:firstLine="924" w:firstLineChars="385"/>
        <w:rPr>
          <w:rFonts w:hint="eastAsia" w:ascii="宋体" w:hAnsi="宋体" w:eastAsia="宋体" w:cs="宋体"/>
          <w:color w:val="auto"/>
          <w:sz w:val="24"/>
          <w:highlight w:val="none"/>
        </w:rPr>
      </w:pPr>
    </w:p>
    <w:p w14:paraId="5E1936CC">
      <w:pPr>
        <w:ind w:firstLine="924" w:firstLineChars="385"/>
        <w:rPr>
          <w:rFonts w:hint="eastAsia" w:ascii="宋体" w:hAnsi="宋体" w:eastAsia="宋体" w:cs="宋体"/>
          <w:color w:val="auto"/>
          <w:sz w:val="24"/>
          <w:highlight w:val="none"/>
        </w:rPr>
      </w:pPr>
    </w:p>
    <w:p w14:paraId="3BA7D5FC">
      <w:pPr>
        <w:ind w:firstLine="16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r>
        <w:rPr>
          <w:rFonts w:hint="eastAsia" w:ascii="宋体" w:hAnsi="宋体" w:eastAsia="宋体" w:cs="宋体"/>
          <w:color w:val="auto"/>
          <w:sz w:val="24"/>
          <w:highlight w:val="none"/>
          <w:u w:val="single"/>
        </w:rPr>
        <w:t xml:space="preserve">              </w:t>
      </w:r>
    </w:p>
    <w:p w14:paraId="76348580">
      <w:pPr>
        <w:ind w:firstLine="1680"/>
        <w:rPr>
          <w:rFonts w:hint="eastAsia" w:ascii="宋体" w:hAnsi="宋体" w:eastAsia="宋体" w:cs="宋体"/>
          <w:color w:val="auto"/>
          <w:sz w:val="24"/>
          <w:highlight w:val="none"/>
        </w:rPr>
      </w:pPr>
    </w:p>
    <w:p w14:paraId="529BFC75">
      <w:pPr>
        <w:ind w:firstLine="1680" w:firstLineChars="700"/>
        <w:rPr>
          <w:rFonts w:hint="eastAsia" w:ascii="宋体" w:hAnsi="宋体" w:eastAsia="宋体" w:cs="宋体"/>
          <w:color w:val="auto"/>
          <w:sz w:val="24"/>
          <w:highlight w:val="none"/>
        </w:rPr>
      </w:pPr>
    </w:p>
    <w:p w14:paraId="4D839F95">
      <w:pPr>
        <w:ind w:firstLine="1680" w:firstLine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供应商（盖单位公章）：</w:t>
      </w:r>
      <w:r>
        <w:rPr>
          <w:rFonts w:hint="eastAsia" w:ascii="宋体" w:hAnsi="宋体" w:eastAsia="宋体" w:cs="宋体"/>
          <w:color w:val="auto"/>
          <w:sz w:val="24"/>
          <w:highlight w:val="none"/>
          <w:u w:val="single"/>
        </w:rPr>
        <w:t xml:space="preserve">               </w:t>
      </w:r>
    </w:p>
    <w:p w14:paraId="78E9A68F">
      <w:pPr>
        <w:wordWrap w:val="0"/>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2D022F5">
      <w:pPr>
        <w:wordWrap w:val="0"/>
        <w:ind w:firstLine="1200" w:firstLineChars="500"/>
        <w:rPr>
          <w:rFonts w:hint="eastAsia" w:ascii="宋体" w:hAnsi="宋体" w:eastAsia="宋体" w:cs="宋体"/>
          <w:color w:val="auto"/>
          <w:sz w:val="24"/>
          <w:highlight w:val="none"/>
        </w:rPr>
      </w:pPr>
    </w:p>
    <w:p w14:paraId="69FD04DD">
      <w:pPr>
        <w:wordWrap w:val="0"/>
        <w:ind w:firstLine="1200" w:firstLineChars="500"/>
        <w:rPr>
          <w:rFonts w:hint="eastAsia" w:ascii="宋体" w:hAnsi="宋体" w:eastAsia="宋体" w:cs="宋体"/>
          <w:color w:val="auto"/>
          <w:sz w:val="24"/>
          <w:highlight w:val="none"/>
        </w:rPr>
      </w:pPr>
    </w:p>
    <w:p w14:paraId="2D01DE49">
      <w:pPr>
        <w:wordWrap w:val="0"/>
        <w:ind w:firstLine="1200" w:firstLineChars="500"/>
        <w:rPr>
          <w:rFonts w:hint="eastAsia" w:ascii="宋体" w:hAnsi="宋体" w:eastAsia="宋体" w:cs="宋体"/>
          <w:color w:val="auto"/>
          <w:sz w:val="24"/>
          <w:highlight w:val="none"/>
        </w:rPr>
      </w:pPr>
    </w:p>
    <w:p w14:paraId="169F019B">
      <w:pPr>
        <w:wordWrap w:val="0"/>
        <w:ind w:firstLine="1200" w:firstLineChars="500"/>
        <w:rPr>
          <w:rFonts w:hint="eastAsia" w:ascii="宋体" w:hAnsi="宋体" w:eastAsia="宋体" w:cs="宋体"/>
          <w:color w:val="auto"/>
          <w:sz w:val="24"/>
          <w:highlight w:val="none"/>
        </w:rPr>
      </w:pPr>
    </w:p>
    <w:p w14:paraId="499C83F0">
      <w:pPr>
        <w:wordWrap w:val="0"/>
        <w:ind w:firstLine="1200" w:firstLineChars="500"/>
        <w:rPr>
          <w:rFonts w:hint="eastAsia" w:ascii="宋体" w:hAnsi="宋体" w:eastAsia="宋体" w:cs="宋体"/>
          <w:color w:val="auto"/>
          <w:sz w:val="24"/>
          <w:highlight w:val="none"/>
        </w:rPr>
      </w:pPr>
    </w:p>
    <w:p w14:paraId="0849F986">
      <w:pPr>
        <w:jc w:val="righ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szCs w:val="24"/>
          <w:highlight w:val="none"/>
        </w:rPr>
        <w:t xml:space="preserve"> </w:t>
      </w:r>
    </w:p>
    <w:p w14:paraId="28AC6FF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C2058E9">
      <w:pPr>
        <w:jc w:val="center"/>
        <w:outlineLvl w:val="1"/>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t>6.具有履行合同所必需的设备和专业技术能力的书面声明</w:t>
      </w:r>
    </w:p>
    <w:p w14:paraId="09235B57">
      <w:pPr>
        <w:rPr>
          <w:rFonts w:hint="eastAsia" w:ascii="宋体" w:hAnsi="宋体" w:eastAsia="宋体" w:cs="宋体"/>
          <w:color w:val="auto"/>
          <w:sz w:val="24"/>
          <w:szCs w:val="24"/>
          <w:highlight w:val="none"/>
        </w:rPr>
      </w:pPr>
    </w:p>
    <w:p w14:paraId="3A3A23D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我单位郑重声明：我单位具备履行本项采购合同所必需的设备和专业技术能力，为履行本项采购合同我公司具备如下主要设备和主要专业技术能力：</w:t>
      </w:r>
    </w:p>
    <w:p w14:paraId="34097A0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主要设备有：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6912CF">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主要专业技术能力有：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646D67">
      <w:pPr>
        <w:ind w:firstLine="460" w:firstLineChars="192"/>
        <w:rPr>
          <w:rFonts w:hint="eastAsia" w:ascii="宋体" w:hAnsi="宋体" w:eastAsia="宋体" w:cs="宋体"/>
          <w:color w:val="auto"/>
          <w:sz w:val="24"/>
          <w:szCs w:val="24"/>
          <w:highlight w:val="none"/>
        </w:rPr>
      </w:pPr>
    </w:p>
    <w:p w14:paraId="2CBE7DF1">
      <w:pPr>
        <w:ind w:firstLine="460" w:firstLineChars="192"/>
        <w:rPr>
          <w:rFonts w:hint="eastAsia" w:ascii="宋体" w:hAnsi="宋体" w:eastAsia="宋体" w:cs="宋体"/>
          <w:color w:val="auto"/>
          <w:sz w:val="24"/>
          <w:szCs w:val="24"/>
          <w:highlight w:val="none"/>
        </w:rPr>
      </w:pPr>
    </w:p>
    <w:p w14:paraId="04847AF8">
      <w:pPr>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AE2D9FF">
      <w:pPr>
        <w:ind w:firstLine="16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p>
    <w:p w14:paraId="32DF8CAF">
      <w:pPr>
        <w:ind w:firstLine="1680"/>
        <w:rPr>
          <w:rFonts w:hint="eastAsia" w:ascii="宋体" w:hAnsi="宋体" w:eastAsia="宋体" w:cs="宋体"/>
          <w:color w:val="auto"/>
          <w:sz w:val="24"/>
          <w:szCs w:val="24"/>
          <w:highlight w:val="none"/>
        </w:rPr>
      </w:pPr>
    </w:p>
    <w:p w14:paraId="4BF9D13D">
      <w:pPr>
        <w:ind w:firstLine="1680" w:firstLineChars="700"/>
        <w:rPr>
          <w:rFonts w:hint="eastAsia" w:ascii="宋体" w:hAnsi="宋体" w:eastAsia="宋体" w:cs="宋体"/>
          <w:color w:val="auto"/>
          <w:sz w:val="24"/>
          <w:szCs w:val="24"/>
          <w:highlight w:val="none"/>
        </w:rPr>
      </w:pPr>
    </w:p>
    <w:p w14:paraId="14423671">
      <w:pPr>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供应商（盖单位公章）：</w:t>
      </w:r>
      <w:r>
        <w:rPr>
          <w:rFonts w:hint="eastAsia" w:ascii="宋体" w:hAnsi="宋体" w:eastAsia="宋体" w:cs="宋体"/>
          <w:color w:val="auto"/>
          <w:sz w:val="24"/>
          <w:szCs w:val="24"/>
          <w:highlight w:val="none"/>
          <w:u w:val="single"/>
        </w:rPr>
        <w:t xml:space="preserve">               </w:t>
      </w:r>
    </w:p>
    <w:p w14:paraId="58DD8B3E">
      <w:pPr>
        <w:ind w:firstLine="1680" w:firstLineChars="700"/>
        <w:rPr>
          <w:rFonts w:hint="eastAsia" w:ascii="宋体" w:hAnsi="宋体" w:eastAsia="宋体" w:cs="宋体"/>
          <w:color w:val="auto"/>
          <w:sz w:val="24"/>
          <w:szCs w:val="24"/>
          <w:highlight w:val="none"/>
        </w:rPr>
      </w:pPr>
    </w:p>
    <w:p w14:paraId="64D37A36">
      <w:pPr>
        <w:ind w:firstLine="1680" w:firstLineChars="700"/>
        <w:rPr>
          <w:rFonts w:hint="eastAsia" w:ascii="宋体" w:hAnsi="宋体" w:eastAsia="宋体" w:cs="宋体"/>
          <w:color w:val="auto"/>
          <w:sz w:val="24"/>
          <w:szCs w:val="24"/>
          <w:highlight w:val="none"/>
        </w:rPr>
      </w:pPr>
    </w:p>
    <w:p w14:paraId="3B1D3FA3">
      <w:pPr>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6535A3">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C1808B6">
      <w:pPr>
        <w:jc w:val="right"/>
        <w:rPr>
          <w:rFonts w:hint="eastAsia" w:ascii="宋体" w:hAnsi="宋体" w:eastAsia="宋体" w:cs="宋体"/>
          <w:color w:val="auto"/>
          <w:sz w:val="24"/>
          <w:szCs w:val="24"/>
          <w:highlight w:val="none"/>
        </w:rPr>
      </w:pPr>
    </w:p>
    <w:p w14:paraId="2D000E21">
      <w:pPr>
        <w:jc w:val="right"/>
        <w:rPr>
          <w:rFonts w:hint="eastAsia" w:ascii="宋体" w:hAnsi="宋体" w:eastAsia="宋体" w:cs="宋体"/>
          <w:color w:val="auto"/>
          <w:sz w:val="24"/>
          <w:szCs w:val="24"/>
          <w:highlight w:val="none"/>
        </w:rPr>
      </w:pPr>
    </w:p>
    <w:p w14:paraId="54D12C44">
      <w:pPr>
        <w:jc w:val="center"/>
        <w:rPr>
          <w:rFonts w:hint="eastAsia" w:ascii="宋体" w:hAnsi="宋体" w:eastAsia="宋体" w:cs="宋体"/>
          <w:color w:val="auto"/>
          <w:sz w:val="28"/>
          <w:szCs w:val="28"/>
          <w:highlight w:val="none"/>
        </w:rPr>
      </w:pPr>
    </w:p>
    <w:p w14:paraId="58E0FA52">
      <w:pPr>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7.参加政府采购活动前3年内在经营活动中没有重大违法记录的书面声明</w:t>
      </w:r>
    </w:p>
    <w:p w14:paraId="0CA86B57">
      <w:pPr>
        <w:rPr>
          <w:rFonts w:hint="eastAsia" w:ascii="宋体" w:hAnsi="宋体" w:eastAsia="宋体" w:cs="宋体"/>
          <w:color w:val="auto"/>
          <w:sz w:val="24"/>
          <w:szCs w:val="24"/>
          <w:highlight w:val="none"/>
        </w:rPr>
      </w:pPr>
    </w:p>
    <w:p w14:paraId="637AF08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我单位郑重声明：参加本次政府采购活动前3年内，我单位在经营活动中没有因违法经营受到刑事处罚或者责令停产停业、吊销许可证或者执照、较大数额罚款等行政处罚。</w:t>
      </w:r>
    </w:p>
    <w:p w14:paraId="7627DDB2">
      <w:pPr>
        <w:ind w:firstLine="460" w:firstLineChars="192"/>
        <w:rPr>
          <w:rFonts w:hint="eastAsia" w:ascii="宋体" w:hAnsi="宋体" w:eastAsia="宋体" w:cs="宋体"/>
          <w:color w:val="auto"/>
          <w:sz w:val="24"/>
          <w:szCs w:val="24"/>
          <w:highlight w:val="none"/>
        </w:rPr>
      </w:pPr>
    </w:p>
    <w:p w14:paraId="7925BFCE">
      <w:pPr>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2F013ED">
      <w:pPr>
        <w:ind w:firstLine="460" w:firstLineChars="192"/>
        <w:rPr>
          <w:rFonts w:hint="eastAsia" w:ascii="宋体" w:hAnsi="宋体" w:eastAsia="宋体" w:cs="宋体"/>
          <w:color w:val="auto"/>
          <w:sz w:val="24"/>
          <w:szCs w:val="24"/>
          <w:highlight w:val="none"/>
        </w:rPr>
      </w:pPr>
    </w:p>
    <w:p w14:paraId="1F37FE74">
      <w:pPr>
        <w:ind w:firstLine="16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p>
    <w:p w14:paraId="69B379BA">
      <w:pPr>
        <w:ind w:firstLine="1680"/>
        <w:rPr>
          <w:rFonts w:hint="eastAsia" w:ascii="宋体" w:hAnsi="宋体" w:eastAsia="宋体" w:cs="宋体"/>
          <w:color w:val="auto"/>
          <w:sz w:val="24"/>
          <w:szCs w:val="24"/>
          <w:highlight w:val="none"/>
        </w:rPr>
      </w:pPr>
    </w:p>
    <w:p w14:paraId="0DBB3254">
      <w:pPr>
        <w:ind w:firstLine="1680" w:firstLineChars="700"/>
        <w:rPr>
          <w:rFonts w:hint="eastAsia" w:ascii="宋体" w:hAnsi="宋体" w:eastAsia="宋体" w:cs="宋体"/>
          <w:color w:val="auto"/>
          <w:sz w:val="24"/>
          <w:szCs w:val="24"/>
          <w:highlight w:val="none"/>
        </w:rPr>
      </w:pPr>
    </w:p>
    <w:p w14:paraId="3884561C">
      <w:pPr>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供应商（盖单位公章）：</w:t>
      </w:r>
      <w:r>
        <w:rPr>
          <w:rFonts w:hint="eastAsia" w:ascii="宋体" w:hAnsi="宋体" w:eastAsia="宋体" w:cs="宋体"/>
          <w:color w:val="auto"/>
          <w:sz w:val="24"/>
          <w:szCs w:val="24"/>
          <w:highlight w:val="none"/>
          <w:u w:val="single"/>
        </w:rPr>
        <w:t xml:space="preserve">               </w:t>
      </w:r>
    </w:p>
    <w:p w14:paraId="3DD0B654">
      <w:pPr>
        <w:ind w:firstLine="1680" w:firstLineChars="700"/>
        <w:rPr>
          <w:rFonts w:hint="eastAsia" w:ascii="宋体" w:hAnsi="宋体" w:eastAsia="宋体" w:cs="宋体"/>
          <w:color w:val="auto"/>
          <w:sz w:val="24"/>
          <w:szCs w:val="24"/>
          <w:highlight w:val="none"/>
        </w:rPr>
      </w:pPr>
    </w:p>
    <w:p w14:paraId="71BC4993">
      <w:pPr>
        <w:ind w:firstLine="1680" w:firstLineChars="7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EFB00B">
      <w:pPr>
        <w:rPr>
          <w:rFonts w:hint="eastAsia" w:ascii="宋体" w:hAnsi="宋体" w:eastAsia="宋体" w:cs="宋体"/>
          <w:color w:val="auto"/>
          <w:sz w:val="32"/>
          <w:szCs w:val="32"/>
          <w:highlight w:val="none"/>
        </w:rPr>
      </w:pPr>
    </w:p>
    <w:p w14:paraId="1AEB3943">
      <w:pPr>
        <w:rPr>
          <w:rFonts w:hint="eastAsia" w:ascii="宋体" w:hAnsi="宋体" w:eastAsia="宋体" w:cs="宋体"/>
          <w:color w:val="auto"/>
          <w:sz w:val="32"/>
          <w:szCs w:val="32"/>
          <w:highlight w:val="none"/>
        </w:rPr>
      </w:pPr>
    </w:p>
    <w:p w14:paraId="7639222B">
      <w:pPr>
        <w:rPr>
          <w:rFonts w:hint="eastAsia" w:ascii="宋体" w:hAnsi="宋体" w:eastAsia="宋体" w:cs="宋体"/>
          <w:color w:val="auto"/>
          <w:sz w:val="32"/>
          <w:szCs w:val="32"/>
          <w:highlight w:val="none"/>
        </w:rPr>
      </w:pPr>
    </w:p>
    <w:p w14:paraId="5ABCC7DA">
      <w:pPr>
        <w:rPr>
          <w:rFonts w:hint="eastAsia" w:ascii="宋体" w:hAnsi="宋体" w:eastAsia="宋体" w:cs="宋体"/>
          <w:color w:val="auto"/>
          <w:sz w:val="32"/>
          <w:szCs w:val="32"/>
          <w:highlight w:val="none"/>
        </w:rPr>
      </w:pPr>
    </w:p>
    <w:p w14:paraId="374D8BBD">
      <w:pPr>
        <w:rPr>
          <w:rFonts w:hint="eastAsia" w:ascii="宋体" w:hAnsi="宋体" w:eastAsia="宋体" w:cs="宋体"/>
          <w:color w:val="auto"/>
          <w:sz w:val="32"/>
          <w:szCs w:val="32"/>
          <w:highlight w:val="none"/>
        </w:rPr>
      </w:pPr>
    </w:p>
    <w:p w14:paraId="33F88580">
      <w:pPr>
        <w:rPr>
          <w:rFonts w:hint="eastAsia" w:ascii="宋体" w:hAnsi="宋体" w:eastAsia="宋体" w:cs="宋体"/>
          <w:color w:val="auto"/>
          <w:sz w:val="32"/>
          <w:szCs w:val="32"/>
          <w:highlight w:val="none"/>
        </w:rPr>
      </w:pPr>
    </w:p>
    <w:p w14:paraId="6B4D5407">
      <w:pPr>
        <w:rPr>
          <w:rFonts w:hint="eastAsia" w:ascii="宋体" w:hAnsi="宋体" w:eastAsia="宋体" w:cs="宋体"/>
          <w:color w:val="auto"/>
          <w:sz w:val="32"/>
          <w:szCs w:val="32"/>
          <w:highlight w:val="none"/>
        </w:rPr>
      </w:pPr>
    </w:p>
    <w:p w14:paraId="0840C7B5">
      <w:pPr>
        <w:jc w:val="center"/>
        <w:outlineLvl w:val="1"/>
        <w:rPr>
          <w:rFonts w:hint="eastAsia" w:ascii="宋体" w:hAnsi="宋体" w:eastAsia="宋体" w:cs="宋体"/>
          <w:color w:val="auto"/>
          <w:sz w:val="30"/>
          <w:szCs w:val="30"/>
          <w:highlight w:val="none"/>
        </w:rPr>
      </w:pPr>
      <w:r>
        <w:rPr>
          <w:rFonts w:hint="eastAsia" w:ascii="宋体" w:hAnsi="宋体" w:eastAsia="宋体" w:cs="宋体"/>
          <w:color w:val="auto"/>
          <w:sz w:val="32"/>
          <w:szCs w:val="32"/>
          <w:highlight w:val="none"/>
        </w:rPr>
        <w:t>8.</w:t>
      </w:r>
      <w:r>
        <w:rPr>
          <w:rFonts w:hint="eastAsia" w:ascii="宋体" w:hAnsi="宋体" w:eastAsia="宋体" w:cs="宋体"/>
          <w:color w:val="auto"/>
          <w:sz w:val="30"/>
          <w:szCs w:val="30"/>
          <w:highlight w:val="none"/>
        </w:rPr>
        <w:t>最终报价</w:t>
      </w:r>
    </w:p>
    <w:tbl>
      <w:tblPr>
        <w:tblStyle w:val="20"/>
        <w:tblW w:w="9040" w:type="dxa"/>
        <w:tblInd w:w="0" w:type="dxa"/>
        <w:tblLayout w:type="fixed"/>
        <w:tblCellMar>
          <w:top w:w="0" w:type="dxa"/>
          <w:left w:w="0" w:type="dxa"/>
          <w:bottom w:w="0" w:type="dxa"/>
          <w:right w:w="0" w:type="dxa"/>
        </w:tblCellMar>
      </w:tblPr>
      <w:tblGrid>
        <w:gridCol w:w="2673"/>
        <w:gridCol w:w="6367"/>
      </w:tblGrid>
      <w:tr w14:paraId="57E705F3">
        <w:tblPrEx>
          <w:tblCellMar>
            <w:top w:w="0" w:type="dxa"/>
            <w:left w:w="0" w:type="dxa"/>
            <w:bottom w:w="0" w:type="dxa"/>
            <w:right w:w="0" w:type="dxa"/>
          </w:tblCellMar>
        </w:tblPrEx>
        <w:trPr>
          <w:trHeight w:val="719" w:hRule="atLeast"/>
        </w:trPr>
        <w:tc>
          <w:tcPr>
            <w:tcW w:w="904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73744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4C122AEB">
        <w:trPr>
          <w:trHeight w:val="719" w:hRule="atLeast"/>
        </w:trPr>
        <w:tc>
          <w:tcPr>
            <w:tcW w:w="904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F99825">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东台市“十五五”供水规划项目</w:t>
            </w:r>
          </w:p>
        </w:tc>
      </w:tr>
      <w:tr w14:paraId="36CC69F2">
        <w:tblPrEx>
          <w:tblCellMar>
            <w:top w:w="0" w:type="dxa"/>
            <w:left w:w="0" w:type="dxa"/>
            <w:bottom w:w="0" w:type="dxa"/>
            <w:right w:w="0" w:type="dxa"/>
          </w:tblCellMar>
        </w:tblPrEx>
        <w:trPr>
          <w:trHeight w:val="735" w:hRule="atLeast"/>
        </w:trPr>
        <w:tc>
          <w:tcPr>
            <w:tcW w:w="2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A47D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6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8D5DA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                     ¥：     元</w:t>
            </w:r>
          </w:p>
        </w:tc>
      </w:tr>
    </w:tbl>
    <w:p w14:paraId="15AB0FF3">
      <w:pPr>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磋商报价应包括完成合同范围的全部工作内容所发生的全部费用、人工、管理、财务、培训、后续服务等所有费用，如一旦中标，在项目实施中出现任何遗漏，均由成交供应商免费提供，采购人不再支付任何费用。</w:t>
      </w:r>
    </w:p>
    <w:p w14:paraId="3805B976">
      <w:pPr>
        <w:pStyle w:val="14"/>
        <w:rPr>
          <w:rFonts w:hint="eastAsia" w:ascii="宋体" w:hAnsi="宋体" w:eastAsia="宋体" w:cs="宋体"/>
          <w:color w:val="auto"/>
          <w:highlight w:val="none"/>
        </w:rPr>
      </w:pPr>
      <w:r>
        <w:rPr>
          <w:rFonts w:hint="eastAsia" w:ascii="宋体" w:hAnsi="宋体" w:eastAsia="宋体" w:cs="宋体"/>
          <w:color w:val="auto"/>
          <w:szCs w:val="24"/>
          <w:highlight w:val="none"/>
        </w:rPr>
        <w:t>2、本表为供应商进行最后报价时采用，可提前下载打印，签字盖章后备用。</w:t>
      </w:r>
    </w:p>
    <w:p w14:paraId="795A5435">
      <w:pPr>
        <w:ind w:firstLine="420" w:firstLineChars="175"/>
        <w:rPr>
          <w:rFonts w:hint="eastAsia" w:ascii="宋体" w:hAnsi="宋体" w:eastAsia="宋体" w:cs="宋体"/>
          <w:color w:val="auto"/>
          <w:sz w:val="24"/>
          <w:szCs w:val="24"/>
          <w:highlight w:val="none"/>
        </w:rPr>
      </w:pPr>
    </w:p>
    <w:p w14:paraId="25D9AE45">
      <w:pPr>
        <w:rPr>
          <w:rFonts w:hint="eastAsia" w:ascii="宋体" w:hAnsi="宋体" w:eastAsia="宋体" w:cs="宋体"/>
          <w:color w:val="auto"/>
          <w:sz w:val="24"/>
          <w:szCs w:val="24"/>
          <w:highlight w:val="none"/>
        </w:rPr>
      </w:pPr>
    </w:p>
    <w:p w14:paraId="060E3960">
      <w:pPr>
        <w:ind w:firstLine="16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970689A">
      <w:pPr>
        <w:ind w:firstLine="16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p>
    <w:p w14:paraId="192E60D8">
      <w:pPr>
        <w:ind w:firstLine="1680"/>
        <w:rPr>
          <w:rFonts w:hint="eastAsia" w:ascii="宋体" w:hAnsi="宋体" w:eastAsia="宋体" w:cs="宋体"/>
          <w:color w:val="auto"/>
          <w:sz w:val="24"/>
          <w:szCs w:val="24"/>
          <w:highlight w:val="none"/>
        </w:rPr>
      </w:pPr>
    </w:p>
    <w:p w14:paraId="7F1F66AD">
      <w:pPr>
        <w:ind w:firstLine="1680" w:firstLineChars="700"/>
        <w:rPr>
          <w:rFonts w:hint="eastAsia" w:ascii="宋体" w:hAnsi="宋体" w:eastAsia="宋体" w:cs="宋体"/>
          <w:color w:val="auto"/>
          <w:sz w:val="24"/>
          <w:szCs w:val="24"/>
          <w:highlight w:val="none"/>
        </w:rPr>
      </w:pPr>
    </w:p>
    <w:p w14:paraId="12E9DE99">
      <w:pPr>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供应商（盖单位公章）：</w:t>
      </w:r>
      <w:r>
        <w:rPr>
          <w:rFonts w:hint="eastAsia" w:ascii="宋体" w:hAnsi="宋体" w:eastAsia="宋体" w:cs="宋体"/>
          <w:color w:val="auto"/>
          <w:sz w:val="24"/>
          <w:szCs w:val="24"/>
          <w:highlight w:val="none"/>
          <w:u w:val="single"/>
        </w:rPr>
        <w:t xml:space="preserve">               </w:t>
      </w:r>
    </w:p>
    <w:p w14:paraId="1C533DF2">
      <w:pPr>
        <w:wordWrap w:val="0"/>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517CF98">
      <w:pPr>
        <w:wordWrap w:val="0"/>
        <w:ind w:firstLine="1200" w:firstLineChars="500"/>
        <w:rPr>
          <w:rFonts w:hint="eastAsia" w:ascii="宋体" w:hAnsi="宋体" w:eastAsia="宋体" w:cs="宋体"/>
          <w:color w:val="auto"/>
          <w:sz w:val="24"/>
          <w:szCs w:val="24"/>
          <w:highlight w:val="none"/>
        </w:rPr>
      </w:pPr>
    </w:p>
    <w:p w14:paraId="1D0CEA6F">
      <w:pPr>
        <w:wordWrap w:val="0"/>
        <w:ind w:firstLine="1200" w:firstLineChars="500"/>
        <w:rPr>
          <w:rFonts w:hint="eastAsia" w:ascii="宋体" w:hAnsi="宋体" w:eastAsia="宋体" w:cs="宋体"/>
          <w:color w:val="auto"/>
          <w:sz w:val="24"/>
          <w:szCs w:val="24"/>
          <w:highlight w:val="none"/>
        </w:rPr>
      </w:pPr>
    </w:p>
    <w:p w14:paraId="0F85AFFF">
      <w:pPr>
        <w:wordWrap w:val="0"/>
        <w:ind w:firstLine="1200" w:firstLineChars="500"/>
        <w:rPr>
          <w:rFonts w:hint="eastAsia" w:ascii="宋体" w:hAnsi="宋体" w:eastAsia="宋体" w:cs="宋体"/>
          <w:color w:val="auto"/>
          <w:sz w:val="24"/>
          <w:szCs w:val="24"/>
          <w:highlight w:val="none"/>
        </w:rPr>
      </w:pPr>
    </w:p>
    <w:p w14:paraId="0B59524D">
      <w:pPr>
        <w:wordWrap w:val="0"/>
        <w:ind w:firstLine="1200" w:firstLineChars="500"/>
        <w:rPr>
          <w:rFonts w:hint="eastAsia" w:ascii="宋体" w:hAnsi="宋体" w:eastAsia="宋体" w:cs="宋体"/>
          <w:color w:val="auto"/>
          <w:sz w:val="24"/>
          <w:szCs w:val="24"/>
          <w:highlight w:val="none"/>
        </w:rPr>
      </w:pPr>
    </w:p>
    <w:p w14:paraId="2A7993C9">
      <w:pPr>
        <w:wordWrap w:val="0"/>
        <w:ind w:firstLine="1200" w:firstLineChars="500"/>
        <w:rPr>
          <w:rFonts w:hint="eastAsia" w:ascii="宋体" w:hAnsi="宋体" w:eastAsia="宋体" w:cs="宋体"/>
          <w:color w:val="auto"/>
          <w:sz w:val="24"/>
          <w:szCs w:val="24"/>
          <w:highlight w:val="none"/>
        </w:rPr>
      </w:pPr>
    </w:p>
    <w:p w14:paraId="36A30368">
      <w:pPr>
        <w:jc w:val="center"/>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第三章  合同文件</w:t>
      </w:r>
    </w:p>
    <w:p w14:paraId="1CEB28B6">
      <w:pPr>
        <w:jc w:val="center"/>
        <w:rPr>
          <w:rFonts w:eastAsia="黑体"/>
          <w:color w:val="auto"/>
          <w:sz w:val="28"/>
          <w:szCs w:val="28"/>
        </w:rPr>
      </w:pPr>
      <w:r>
        <w:rPr>
          <w:rFonts w:hint="eastAsia" w:eastAsia="黑体" w:cs="黑体"/>
          <w:color w:val="auto"/>
          <w:sz w:val="28"/>
          <w:szCs w:val="28"/>
        </w:rPr>
        <w:t>一、合同协议书</w:t>
      </w:r>
    </w:p>
    <w:p w14:paraId="5DCE1497">
      <w:pPr>
        <w:pStyle w:val="35"/>
        <w:ind w:firstLine="0"/>
        <w:jc w:val="right"/>
        <w:rPr>
          <w:rFonts w:ascii="楷体" w:hAnsi="楷体" w:eastAsia="楷体" w:cs="宋体"/>
          <w:b/>
          <w:color w:val="auto"/>
          <w:sz w:val="21"/>
          <w:szCs w:val="21"/>
          <w:lang w:val="zh-CN"/>
        </w:rPr>
      </w:pPr>
    </w:p>
    <w:p w14:paraId="4CA37D5C">
      <w:pPr>
        <w:pStyle w:val="35"/>
        <w:ind w:firstLine="0"/>
        <w:rPr>
          <w:rFonts w:ascii="楷体" w:hAnsi="楷体" w:eastAsia="楷体" w:cs="宋体"/>
          <w:color w:val="auto"/>
          <w:sz w:val="21"/>
          <w:szCs w:val="21"/>
        </w:rPr>
      </w:pPr>
    </w:p>
    <w:p w14:paraId="2EFBFA34">
      <w:pPr>
        <w:pStyle w:val="35"/>
        <w:ind w:firstLine="0"/>
        <w:rPr>
          <w:rFonts w:ascii="楷体" w:hAnsi="楷体" w:eastAsia="楷体" w:cs="宋体"/>
          <w:color w:val="auto"/>
          <w:sz w:val="21"/>
          <w:szCs w:val="21"/>
        </w:rPr>
      </w:pPr>
    </w:p>
    <w:p w14:paraId="011A0793">
      <w:pPr>
        <w:pStyle w:val="35"/>
        <w:ind w:firstLine="0"/>
        <w:rPr>
          <w:rFonts w:ascii="楷体" w:hAnsi="楷体" w:eastAsia="楷体" w:cs="宋体"/>
          <w:color w:val="auto"/>
          <w:sz w:val="21"/>
          <w:szCs w:val="21"/>
        </w:rPr>
      </w:pPr>
    </w:p>
    <w:p w14:paraId="29678761">
      <w:pPr>
        <w:pStyle w:val="35"/>
        <w:ind w:firstLine="0"/>
        <w:rPr>
          <w:rFonts w:ascii="楷体" w:hAnsi="楷体" w:eastAsia="楷体" w:cs="宋体"/>
          <w:color w:val="auto"/>
          <w:sz w:val="21"/>
          <w:szCs w:val="21"/>
        </w:rPr>
      </w:pPr>
    </w:p>
    <w:p w14:paraId="668F5136">
      <w:pPr>
        <w:pStyle w:val="35"/>
        <w:ind w:firstLine="0"/>
        <w:rPr>
          <w:rFonts w:ascii="楷体" w:hAnsi="楷体" w:eastAsia="楷体" w:cs="宋体"/>
          <w:color w:val="auto"/>
          <w:sz w:val="21"/>
          <w:szCs w:val="21"/>
        </w:rPr>
      </w:pPr>
    </w:p>
    <w:p w14:paraId="17A6B123">
      <w:pPr>
        <w:pStyle w:val="35"/>
        <w:ind w:firstLine="0"/>
        <w:rPr>
          <w:rFonts w:ascii="楷体" w:hAnsi="楷体" w:eastAsia="楷体" w:cs="宋体"/>
          <w:color w:val="auto"/>
          <w:sz w:val="21"/>
          <w:szCs w:val="21"/>
        </w:rPr>
      </w:pPr>
    </w:p>
    <w:p w14:paraId="206136A0">
      <w:pPr>
        <w:pStyle w:val="35"/>
        <w:ind w:firstLine="0"/>
        <w:rPr>
          <w:rFonts w:ascii="楷体" w:hAnsi="楷体" w:eastAsia="楷体" w:cs="宋体"/>
          <w:color w:val="auto"/>
          <w:sz w:val="21"/>
          <w:szCs w:val="21"/>
        </w:rPr>
      </w:pPr>
    </w:p>
    <w:p w14:paraId="3D748CE5">
      <w:pPr>
        <w:pStyle w:val="35"/>
        <w:ind w:firstLine="0"/>
        <w:rPr>
          <w:rFonts w:ascii="楷体" w:hAnsi="楷体" w:eastAsia="楷体" w:cs="宋体"/>
          <w:color w:val="auto"/>
          <w:sz w:val="21"/>
          <w:szCs w:val="21"/>
        </w:rPr>
      </w:pPr>
    </w:p>
    <w:p w14:paraId="4E8BE504">
      <w:pPr>
        <w:pStyle w:val="35"/>
        <w:ind w:firstLine="0"/>
        <w:rPr>
          <w:rFonts w:ascii="楷体" w:hAnsi="楷体" w:eastAsia="楷体" w:cs="宋体"/>
          <w:color w:val="auto"/>
          <w:sz w:val="21"/>
          <w:szCs w:val="21"/>
        </w:rPr>
      </w:pPr>
    </w:p>
    <w:p w14:paraId="7CE6B28D">
      <w:pPr>
        <w:spacing w:before="120" w:line="22" w:lineRule="atLeast"/>
        <w:ind w:firstLine="1984" w:firstLineChars="945"/>
        <w:rPr>
          <w:rFonts w:ascii="楷体" w:hAnsi="楷体" w:eastAsia="楷体" w:cs="宋体"/>
          <w:color w:val="auto"/>
        </w:rPr>
      </w:pPr>
      <w:r>
        <w:rPr>
          <w:rFonts w:hint="eastAsia" w:ascii="楷体" w:hAnsi="楷体" w:eastAsia="楷体" w:cs="宋体"/>
          <w:color w:val="auto"/>
        </w:rPr>
        <w:t>项目名称：</w:t>
      </w:r>
      <w:r>
        <w:rPr>
          <w:rFonts w:hint="eastAsia" w:ascii="楷体" w:hAnsi="楷体" w:eastAsia="楷体" w:cs="楷体"/>
          <w:color w:val="auto"/>
          <w:u w:val="single"/>
        </w:rPr>
        <w:t>东台市“十五五”供水规划项目</w:t>
      </w:r>
    </w:p>
    <w:p w14:paraId="03F7C5AD">
      <w:pPr>
        <w:pStyle w:val="36"/>
        <w:spacing w:before="120" w:line="22" w:lineRule="atLeast"/>
        <w:ind w:firstLine="1984" w:firstLineChars="945"/>
        <w:rPr>
          <w:rFonts w:ascii="楷体" w:hAnsi="楷体" w:eastAsia="楷体" w:cs="宋体"/>
          <w:color w:val="auto"/>
          <w:sz w:val="21"/>
          <w:szCs w:val="21"/>
        </w:rPr>
      </w:pPr>
    </w:p>
    <w:p w14:paraId="3A58E8D1">
      <w:pPr>
        <w:pStyle w:val="36"/>
        <w:spacing w:before="120" w:line="22" w:lineRule="atLeast"/>
        <w:ind w:firstLine="1984" w:firstLineChars="945"/>
        <w:rPr>
          <w:rFonts w:ascii="楷体" w:hAnsi="楷体" w:eastAsia="楷体" w:cs="宋体"/>
          <w:color w:val="auto"/>
          <w:sz w:val="21"/>
          <w:szCs w:val="21"/>
        </w:rPr>
      </w:pPr>
      <w:r>
        <w:rPr>
          <w:rFonts w:hint="eastAsia" w:ascii="楷体" w:hAnsi="楷体" w:eastAsia="楷体" w:cs="宋体"/>
          <w:bCs/>
          <w:color w:val="auto"/>
          <w:sz w:val="21"/>
          <w:szCs w:val="21"/>
        </w:rPr>
        <w:t>项目编号：</w:t>
      </w:r>
      <w:r>
        <w:rPr>
          <w:rFonts w:hint="eastAsia" w:ascii="楷体" w:hAnsi="楷体" w:eastAsia="楷体" w:cs="宋体"/>
          <w:bCs/>
          <w:color w:val="auto"/>
          <w:sz w:val="21"/>
          <w:szCs w:val="21"/>
          <w:u w:val="single"/>
        </w:rPr>
        <w:t xml:space="preserve">  </w:t>
      </w:r>
      <w:r>
        <w:rPr>
          <w:rFonts w:hint="eastAsia" w:ascii="楷体" w:hAnsi="楷体" w:eastAsia="楷体" w:cs="宋体"/>
          <w:color w:val="auto"/>
          <w:sz w:val="21"/>
          <w:szCs w:val="21"/>
          <w:u w:val="single"/>
        </w:rPr>
        <w:t xml:space="preserve">  </w:t>
      </w:r>
      <w:r>
        <w:rPr>
          <w:rFonts w:hint="eastAsia" w:ascii="楷体" w:hAnsi="楷体" w:eastAsia="楷体" w:cs="宋体"/>
          <w:bCs/>
          <w:color w:val="auto"/>
          <w:sz w:val="21"/>
          <w:szCs w:val="21"/>
          <w:u w:val="single"/>
        </w:rPr>
        <w:t xml:space="preserve">                     </w:t>
      </w:r>
    </w:p>
    <w:p w14:paraId="4634F437">
      <w:pPr>
        <w:ind w:firstLine="1984" w:firstLineChars="945"/>
        <w:rPr>
          <w:rFonts w:ascii="楷体" w:hAnsi="楷体" w:eastAsia="楷体" w:cs="宋体"/>
          <w:color w:val="auto"/>
        </w:rPr>
      </w:pPr>
    </w:p>
    <w:p w14:paraId="64A98143">
      <w:pPr>
        <w:spacing w:before="120" w:line="22" w:lineRule="atLeast"/>
        <w:ind w:firstLine="1984" w:firstLineChars="945"/>
        <w:rPr>
          <w:rFonts w:ascii="楷体" w:hAnsi="楷体" w:eastAsia="楷体" w:cs="宋体"/>
          <w:color w:val="auto"/>
          <w:u w:val="single"/>
        </w:rPr>
      </w:pPr>
      <w:r>
        <w:rPr>
          <w:rFonts w:hint="eastAsia" w:ascii="楷体" w:hAnsi="楷体" w:eastAsia="楷体" w:cs="宋体"/>
          <w:color w:val="auto"/>
        </w:rPr>
        <w:t>甲方：</w:t>
      </w:r>
      <w:r>
        <w:rPr>
          <w:rFonts w:hint="eastAsia" w:ascii="楷体" w:hAnsi="楷体" w:eastAsia="楷体" w:cs="宋体"/>
          <w:color w:val="auto"/>
          <w:u w:val="single"/>
        </w:rPr>
        <w:t>东台市现代农业投资发展有限公司（采购人）</w:t>
      </w:r>
    </w:p>
    <w:p w14:paraId="7CC128C3">
      <w:pPr>
        <w:spacing w:before="120" w:line="22" w:lineRule="atLeast"/>
        <w:ind w:firstLine="1984" w:firstLineChars="945"/>
        <w:rPr>
          <w:rFonts w:ascii="楷体" w:hAnsi="楷体" w:eastAsia="楷体" w:cs="宋体"/>
          <w:color w:val="auto"/>
        </w:rPr>
      </w:pPr>
    </w:p>
    <w:p w14:paraId="41A0EE6E">
      <w:pPr>
        <w:spacing w:before="120" w:line="22" w:lineRule="atLeast"/>
        <w:ind w:firstLine="1984" w:firstLineChars="945"/>
        <w:rPr>
          <w:rFonts w:ascii="楷体" w:hAnsi="楷体" w:eastAsia="楷体" w:cs="宋体"/>
          <w:color w:val="auto"/>
          <w:u w:val="single"/>
        </w:rPr>
      </w:pPr>
      <w:r>
        <w:rPr>
          <w:rFonts w:hint="eastAsia" w:ascii="楷体" w:hAnsi="楷体" w:eastAsia="楷体" w:cs="宋体"/>
          <w:color w:val="auto"/>
        </w:rPr>
        <w:t>乙方：</w:t>
      </w:r>
      <w:r>
        <w:rPr>
          <w:rFonts w:hint="eastAsia" w:ascii="楷体" w:hAnsi="楷体" w:eastAsia="楷体" w:cs="宋体"/>
          <w:color w:val="auto"/>
          <w:u w:val="single"/>
        </w:rPr>
        <w:t xml:space="preserve">             </w:t>
      </w:r>
      <w:r>
        <w:rPr>
          <w:rFonts w:hint="eastAsia" w:ascii="楷体" w:hAnsi="楷体" w:eastAsia="楷体" w:cs="宋体"/>
          <w:color w:val="auto"/>
        </w:rPr>
        <w:t>（中标供应商）</w:t>
      </w:r>
    </w:p>
    <w:p w14:paraId="137497C1">
      <w:pPr>
        <w:spacing w:before="120" w:line="22" w:lineRule="atLeast"/>
        <w:ind w:firstLine="1984" w:firstLineChars="945"/>
        <w:rPr>
          <w:rFonts w:ascii="楷体" w:hAnsi="楷体" w:eastAsia="楷体" w:cs="宋体"/>
          <w:color w:val="auto"/>
        </w:rPr>
      </w:pPr>
    </w:p>
    <w:p w14:paraId="0180FAA4">
      <w:pPr>
        <w:spacing w:before="120" w:line="22" w:lineRule="atLeast"/>
        <w:ind w:firstLine="1984" w:firstLineChars="945"/>
        <w:rPr>
          <w:rFonts w:ascii="楷体" w:hAnsi="楷体" w:eastAsia="楷体" w:cs="宋体"/>
          <w:color w:val="auto"/>
          <w:u w:val="single"/>
        </w:rPr>
      </w:pPr>
      <w:r>
        <w:rPr>
          <w:rFonts w:hint="eastAsia" w:ascii="楷体" w:hAnsi="楷体" w:eastAsia="楷体" w:cs="宋体"/>
          <w:color w:val="auto"/>
        </w:rPr>
        <w:t>签订地：</w:t>
      </w:r>
      <w:r>
        <w:rPr>
          <w:rFonts w:hint="eastAsia" w:ascii="楷体" w:hAnsi="楷体" w:eastAsia="楷体" w:cs="宋体"/>
          <w:color w:val="auto"/>
          <w:u w:val="single"/>
        </w:rPr>
        <w:t xml:space="preserve">                                   </w:t>
      </w:r>
    </w:p>
    <w:p w14:paraId="2CADFCD5">
      <w:pPr>
        <w:spacing w:before="120" w:line="22" w:lineRule="atLeast"/>
        <w:ind w:firstLine="1984" w:firstLineChars="945"/>
        <w:rPr>
          <w:rFonts w:ascii="楷体" w:hAnsi="楷体" w:eastAsia="楷体" w:cs="宋体"/>
          <w:color w:val="auto"/>
        </w:rPr>
      </w:pPr>
    </w:p>
    <w:p w14:paraId="4849C4A2">
      <w:pPr>
        <w:spacing w:before="120" w:line="22" w:lineRule="atLeast"/>
        <w:ind w:firstLine="1984" w:firstLineChars="945"/>
        <w:rPr>
          <w:rFonts w:ascii="楷体" w:hAnsi="楷体" w:eastAsia="楷体" w:cs="宋体"/>
          <w:color w:val="auto"/>
          <w:u w:val="single"/>
        </w:rPr>
      </w:pPr>
      <w:r>
        <w:rPr>
          <w:rFonts w:hint="eastAsia" w:ascii="楷体" w:hAnsi="楷体" w:eastAsia="楷体" w:cs="宋体"/>
          <w:color w:val="auto"/>
        </w:rPr>
        <w:t>签订日期：</w:t>
      </w:r>
      <w:r>
        <w:rPr>
          <w:rFonts w:hint="eastAsia" w:ascii="楷体" w:hAnsi="楷体" w:eastAsia="楷体" w:cs="宋体"/>
          <w:color w:val="auto"/>
          <w:u w:val="single"/>
        </w:rPr>
        <w:t xml:space="preserve"> 2025 </w:t>
      </w:r>
      <w:r>
        <w:rPr>
          <w:rFonts w:hint="eastAsia" w:ascii="楷体" w:hAnsi="楷体" w:eastAsia="楷体" w:cs="宋体"/>
          <w:color w:val="auto"/>
        </w:rPr>
        <w:t>年</w:t>
      </w:r>
      <w:r>
        <w:rPr>
          <w:rFonts w:hint="eastAsia" w:ascii="楷体" w:hAnsi="楷体" w:eastAsia="楷体" w:cs="宋体"/>
          <w:color w:val="auto"/>
          <w:u w:val="single"/>
        </w:rPr>
        <w:t xml:space="preserve">    </w:t>
      </w:r>
      <w:r>
        <w:rPr>
          <w:rFonts w:hint="eastAsia" w:ascii="楷体" w:hAnsi="楷体" w:eastAsia="楷体" w:cs="宋体"/>
          <w:color w:val="auto"/>
        </w:rPr>
        <w:t>月</w:t>
      </w:r>
      <w:r>
        <w:rPr>
          <w:rFonts w:hint="eastAsia" w:ascii="楷体" w:hAnsi="楷体" w:eastAsia="楷体" w:cs="宋体"/>
          <w:color w:val="auto"/>
          <w:u w:val="single"/>
        </w:rPr>
        <w:t xml:space="preserve">    </w:t>
      </w:r>
      <w:r>
        <w:rPr>
          <w:rFonts w:hint="eastAsia" w:ascii="楷体" w:hAnsi="楷体" w:eastAsia="楷体" w:cs="宋体"/>
          <w:color w:val="auto"/>
        </w:rPr>
        <w:t>日</w:t>
      </w:r>
    </w:p>
    <w:p w14:paraId="5A8D9408">
      <w:pPr>
        <w:autoSpaceDE w:val="0"/>
        <w:autoSpaceDN w:val="0"/>
        <w:adjustRightInd w:val="0"/>
        <w:spacing w:line="600" w:lineRule="exact"/>
        <w:ind w:firstLine="640"/>
        <w:jc w:val="center"/>
        <w:rPr>
          <w:rFonts w:ascii="楷体" w:hAnsi="楷体" w:eastAsia="楷体" w:cs="宋体"/>
          <w:color w:val="auto"/>
        </w:rPr>
        <w:sectPr>
          <w:headerReference r:id="rId3" w:type="default"/>
          <w:footerReference r:id="rId4" w:type="default"/>
          <w:pgSz w:w="11907" w:h="16840"/>
          <w:pgMar w:top="1417" w:right="1417" w:bottom="1417" w:left="1417" w:header="851" w:footer="850" w:gutter="0"/>
          <w:pgNumType w:fmt="decimal"/>
          <w:cols w:space="720" w:num="1"/>
          <w:docGrid w:linePitch="462" w:charSpace="0"/>
        </w:sectPr>
      </w:pPr>
    </w:p>
    <w:p w14:paraId="2D972454">
      <w:pPr>
        <w:keepNext w:val="0"/>
        <w:keepLines w:val="0"/>
        <w:pageBreakBefore w:val="0"/>
        <w:widowControl w:val="0"/>
        <w:kinsoku/>
        <w:wordWrap/>
        <w:overflowPunct/>
        <w:topLinePunct w:val="0"/>
        <w:bidi w:val="0"/>
        <w:spacing w:line="360" w:lineRule="auto"/>
        <w:textAlignment w:val="auto"/>
        <w:rPr>
          <w:rFonts w:hint="eastAsia" w:ascii="楷体" w:hAnsi="楷体" w:eastAsia="楷体" w:cs="宋体"/>
          <w:color w:val="auto"/>
          <w:u w:val="single"/>
          <w:lang w:val="zh-CN"/>
        </w:rPr>
      </w:pPr>
      <w:r>
        <w:rPr>
          <w:rFonts w:hint="eastAsia" w:ascii="楷体" w:hAnsi="楷体" w:eastAsia="楷体" w:cs="宋体"/>
          <w:color w:val="auto"/>
          <w:u w:val="none"/>
          <w:lang w:val="zh-CN"/>
        </w:rPr>
        <w:t>甲方：</w:t>
      </w:r>
      <w:r>
        <w:rPr>
          <w:rFonts w:hint="eastAsia" w:ascii="楷体" w:hAnsi="楷体" w:eastAsia="楷体" w:cs="宋体"/>
          <w:color w:val="auto"/>
          <w:u w:val="single"/>
          <w:lang w:val="zh-CN"/>
        </w:rPr>
        <w:t>东台市现代农业投资发展有限公司（采购人）</w:t>
      </w:r>
    </w:p>
    <w:p w14:paraId="45BD0DD1">
      <w:pPr>
        <w:keepNext w:val="0"/>
        <w:keepLines w:val="0"/>
        <w:pageBreakBefore w:val="0"/>
        <w:widowControl w:val="0"/>
        <w:kinsoku/>
        <w:wordWrap/>
        <w:overflowPunct/>
        <w:topLinePunct w:val="0"/>
        <w:bidi w:val="0"/>
        <w:spacing w:line="360" w:lineRule="auto"/>
        <w:textAlignment w:val="auto"/>
        <w:rPr>
          <w:rFonts w:hint="eastAsia" w:ascii="楷体" w:hAnsi="楷体" w:eastAsia="楷体" w:cs="宋体"/>
          <w:color w:val="auto"/>
          <w:u w:val="single"/>
          <w:lang w:val="zh-CN"/>
        </w:rPr>
      </w:pPr>
      <w:r>
        <w:rPr>
          <w:rFonts w:hint="eastAsia" w:ascii="楷体" w:hAnsi="楷体" w:eastAsia="楷体" w:cs="宋体"/>
          <w:color w:val="auto"/>
          <w:u w:val="none"/>
          <w:lang w:val="zh-CN"/>
        </w:rPr>
        <w:t>乙方：</w:t>
      </w:r>
      <w:r>
        <w:rPr>
          <w:rFonts w:hint="eastAsia" w:ascii="楷体" w:hAnsi="楷体" w:eastAsia="楷体" w:cs="宋体"/>
          <w:color w:val="auto"/>
          <w:u w:val="single"/>
          <w:lang w:val="zh-CN"/>
        </w:rPr>
        <w:t xml:space="preserve">             （中标供应商）</w:t>
      </w:r>
    </w:p>
    <w:p w14:paraId="69563D2D">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u w:val="single"/>
          <w:lang w:val="zh-CN"/>
        </w:rPr>
        <w:t xml:space="preserve"> 2025 </w:t>
      </w:r>
      <w:r>
        <w:rPr>
          <w:rFonts w:hint="eastAsia" w:ascii="楷体" w:hAnsi="楷体" w:eastAsia="楷体" w:cs="宋体"/>
          <w:color w:val="auto"/>
          <w:lang w:val="zh-CN"/>
        </w:rPr>
        <w:t>年</w:t>
      </w:r>
      <w:r>
        <w:rPr>
          <w:rFonts w:hint="eastAsia" w:ascii="楷体" w:hAnsi="楷体" w:eastAsia="楷体" w:cs="宋体"/>
          <w:color w:val="auto"/>
          <w:u w:val="single"/>
          <w:lang w:val="zh-CN"/>
        </w:rPr>
        <w:t xml:space="preserve">    </w:t>
      </w:r>
      <w:r>
        <w:rPr>
          <w:rFonts w:hint="eastAsia" w:ascii="楷体" w:hAnsi="楷体" w:eastAsia="楷体" w:cs="宋体"/>
          <w:color w:val="auto"/>
          <w:lang w:val="zh-CN"/>
        </w:rPr>
        <w:t>月</w:t>
      </w:r>
      <w:r>
        <w:rPr>
          <w:rFonts w:hint="eastAsia" w:ascii="楷体" w:hAnsi="楷体" w:eastAsia="楷体" w:cs="宋体"/>
          <w:color w:val="auto"/>
          <w:u w:val="single"/>
          <w:lang w:val="zh-CN"/>
        </w:rPr>
        <w:t xml:space="preserve">    </w:t>
      </w:r>
      <w:r>
        <w:rPr>
          <w:rFonts w:hint="eastAsia" w:ascii="楷体" w:hAnsi="楷体" w:eastAsia="楷体" w:cs="宋体"/>
          <w:color w:val="auto"/>
          <w:lang w:val="zh-CN"/>
        </w:rPr>
        <w:t>日</w:t>
      </w:r>
      <w:r>
        <w:rPr>
          <w:rFonts w:hint="eastAsia" w:ascii="楷体" w:hAnsi="楷体" w:eastAsia="楷体" w:cs="宋体"/>
          <w:color w:val="auto"/>
        </w:rPr>
        <w:t>，</w:t>
      </w:r>
      <w:r>
        <w:rPr>
          <w:rFonts w:hint="eastAsia" w:ascii="楷体" w:hAnsi="楷体" w:eastAsia="楷体" w:cs="宋体"/>
          <w:color w:val="auto"/>
          <w:u w:val="single"/>
        </w:rPr>
        <w:t xml:space="preserve"> 东台市现代农业投资发展有限公司 </w:t>
      </w:r>
      <w:r>
        <w:rPr>
          <w:rFonts w:hint="eastAsia" w:ascii="楷体" w:hAnsi="楷体" w:eastAsia="楷体" w:cs="宋体"/>
          <w:color w:val="auto"/>
        </w:rPr>
        <w:t>以</w:t>
      </w:r>
      <w:r>
        <w:rPr>
          <w:rFonts w:hint="eastAsia" w:ascii="楷体" w:hAnsi="楷体" w:eastAsia="楷体" w:cs="宋体"/>
          <w:color w:val="auto"/>
          <w:u w:val="single"/>
        </w:rPr>
        <w:t xml:space="preserve">竞争性磋商采购方式 </w:t>
      </w:r>
      <w:r>
        <w:rPr>
          <w:rFonts w:hint="eastAsia" w:ascii="楷体" w:hAnsi="楷体" w:eastAsia="楷体" w:cs="宋体"/>
          <w:color w:val="auto"/>
        </w:rPr>
        <w:t>对</w:t>
      </w:r>
      <w:r>
        <w:rPr>
          <w:rFonts w:hint="eastAsia" w:ascii="楷体" w:hAnsi="楷体" w:eastAsia="楷体" w:cs="宋体"/>
          <w:color w:val="auto"/>
          <w:u w:val="single"/>
        </w:rPr>
        <w:t xml:space="preserve"> 东台市“十五五”供水规划项目  </w:t>
      </w:r>
      <w:r>
        <w:rPr>
          <w:rFonts w:hint="eastAsia" w:ascii="楷体" w:hAnsi="楷体" w:eastAsia="楷体" w:cs="宋体"/>
          <w:color w:val="auto"/>
        </w:rPr>
        <w:t>进行了采购。经</w:t>
      </w:r>
      <w:r>
        <w:rPr>
          <w:rFonts w:hint="eastAsia" w:ascii="楷体" w:hAnsi="楷体" w:eastAsia="楷体"/>
          <w:bCs/>
          <w:color w:val="auto"/>
          <w:lang w:val="zh-CN"/>
        </w:rPr>
        <w:t>评标委员会</w:t>
      </w:r>
      <w:r>
        <w:rPr>
          <w:rFonts w:hint="eastAsia" w:ascii="楷体" w:hAnsi="楷体" w:eastAsia="楷体" w:cs="宋体"/>
          <w:color w:val="auto"/>
        </w:rPr>
        <w:t>评审，</w:t>
      </w:r>
      <w:r>
        <w:rPr>
          <w:rFonts w:hint="eastAsia" w:ascii="楷体" w:hAnsi="楷体" w:eastAsia="楷体" w:cs="宋体"/>
          <w:color w:val="auto"/>
          <w:u w:val="single"/>
        </w:rPr>
        <w:t xml:space="preserve"> 东台市现代农业投资发展有限公司 </w:t>
      </w:r>
      <w:r>
        <w:rPr>
          <w:rFonts w:hint="eastAsia" w:ascii="楷体" w:hAnsi="楷体" w:eastAsia="楷体" w:cs="宋体"/>
          <w:color w:val="auto"/>
        </w:rPr>
        <w:t>确定</w:t>
      </w:r>
      <w:r>
        <w:rPr>
          <w:rFonts w:hint="eastAsia" w:ascii="楷体" w:hAnsi="楷体" w:eastAsia="楷体" w:cs="宋体"/>
          <w:color w:val="auto"/>
          <w:u w:val="single"/>
        </w:rPr>
        <w:t xml:space="preserve"> （乙方） </w:t>
      </w:r>
      <w:r>
        <w:rPr>
          <w:rFonts w:hint="eastAsia" w:ascii="楷体" w:hAnsi="楷体" w:eastAsia="楷体" w:cs="宋体"/>
          <w:color w:val="auto"/>
        </w:rPr>
        <w:t>为该项目中标供应商。现于中标通知书发出之日起三十日内，按照采购文件确定的事项签订本合同。</w:t>
      </w:r>
    </w:p>
    <w:p w14:paraId="2A264688">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lang w:val="zh-CN"/>
        </w:rPr>
        <w:t>根据《中华人民共和国民法典》、《中华人民共和国政府采购法》等相关法律法规之规定，按照平等、自愿、公平和诚实信用的原则，经</w:t>
      </w:r>
      <w:r>
        <w:rPr>
          <w:rFonts w:hint="eastAsia" w:ascii="楷体" w:hAnsi="楷体" w:eastAsia="楷体" w:cs="宋体"/>
          <w:color w:val="auto"/>
          <w:u w:val="single"/>
        </w:rPr>
        <w:t xml:space="preserve"> 东台市现代农业投资发展有限公司 </w:t>
      </w:r>
      <w:r>
        <w:rPr>
          <w:rFonts w:hint="eastAsia" w:ascii="楷体" w:hAnsi="楷体" w:eastAsia="楷体" w:cs="宋体"/>
          <w:color w:val="auto"/>
          <w:lang w:val="zh-CN"/>
        </w:rPr>
        <w:t>(以下简称：甲方)和</w:t>
      </w:r>
      <w:r>
        <w:rPr>
          <w:rFonts w:hint="eastAsia" w:ascii="楷体" w:hAnsi="楷体" w:eastAsia="楷体" w:cs="宋体"/>
          <w:color w:val="auto"/>
          <w:u w:val="single"/>
        </w:rPr>
        <w:t xml:space="preserve">      </w:t>
      </w:r>
      <w:r>
        <w:rPr>
          <w:rFonts w:hint="eastAsia" w:ascii="楷体" w:hAnsi="楷体" w:eastAsia="楷体" w:cs="宋体"/>
          <w:color w:val="auto"/>
          <w:lang w:val="zh-CN"/>
        </w:rPr>
        <w:t>(以下简称：乙方)协商一致，约定以下合同</w:t>
      </w:r>
      <w:r>
        <w:rPr>
          <w:rFonts w:hint="eastAsia" w:ascii="楷体" w:hAnsi="楷体" w:eastAsia="楷体" w:cs="宋体"/>
          <w:color w:val="auto"/>
        </w:rPr>
        <w:t>条款，以兹共同遵守、全面履行。</w:t>
      </w:r>
    </w:p>
    <w:p w14:paraId="7B5FDC2D">
      <w:pPr>
        <w:keepNext w:val="0"/>
        <w:keepLines w:val="0"/>
        <w:pageBreakBefore w:val="0"/>
        <w:widowControl w:val="0"/>
        <w:kinsoku/>
        <w:wordWrap/>
        <w:overflowPunct/>
        <w:topLinePunct w:val="0"/>
        <w:bidi w:val="0"/>
        <w:spacing w:line="360" w:lineRule="auto"/>
        <w:ind w:firstLine="422" w:firstLineChars="200"/>
        <w:textAlignment w:val="auto"/>
        <w:rPr>
          <w:rFonts w:ascii="楷体" w:hAnsi="楷体" w:eastAsia="楷体" w:cs="宋体"/>
          <w:b/>
          <w:color w:val="auto"/>
        </w:rPr>
      </w:pPr>
      <w:r>
        <w:rPr>
          <w:rFonts w:hint="eastAsia" w:ascii="楷体" w:hAnsi="楷体" w:eastAsia="楷体" w:cs="宋体"/>
          <w:b/>
          <w:color w:val="auto"/>
        </w:rPr>
        <w:t>1.1 合同组成部分</w:t>
      </w:r>
    </w:p>
    <w:p w14:paraId="64E8CB57">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141BAD7">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1.1.1 本合同及其补充合同、变更协议；</w:t>
      </w:r>
    </w:p>
    <w:p w14:paraId="0B651638">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1.1.2 中标通知书；</w:t>
      </w:r>
    </w:p>
    <w:p w14:paraId="30439917">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 xml:space="preserve">1.1.3 </w:t>
      </w:r>
      <w:r>
        <w:rPr>
          <w:rFonts w:hint="eastAsia" w:ascii="楷体" w:hAnsi="楷体" w:eastAsia="楷体" w:cs="宋体"/>
          <w:color w:val="auto"/>
          <w:lang w:val="en-US" w:eastAsia="zh-CN"/>
        </w:rPr>
        <w:t>响应</w:t>
      </w:r>
      <w:r>
        <w:rPr>
          <w:rFonts w:hint="eastAsia" w:ascii="楷体" w:hAnsi="楷体" w:eastAsia="楷体" w:cs="宋体"/>
          <w:color w:val="auto"/>
        </w:rPr>
        <w:t>文件（含澄清或者说明文件）；</w:t>
      </w:r>
    </w:p>
    <w:p w14:paraId="5D56199F">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1.1.4 竞争性</w:t>
      </w:r>
      <w:r>
        <w:rPr>
          <w:rFonts w:hint="eastAsia" w:ascii="楷体" w:hAnsi="楷体" w:eastAsia="楷体" w:cs="宋体"/>
          <w:color w:val="auto"/>
          <w:lang w:val="en-US" w:eastAsia="zh-CN"/>
        </w:rPr>
        <w:t>磋商</w:t>
      </w:r>
      <w:r>
        <w:rPr>
          <w:rFonts w:hint="eastAsia" w:ascii="楷体" w:hAnsi="楷体" w:eastAsia="楷体" w:cs="宋体"/>
          <w:color w:val="auto"/>
        </w:rPr>
        <w:t>文件（含澄清或者修改文件）；</w:t>
      </w:r>
    </w:p>
    <w:p w14:paraId="704D266D">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1.1.5 其他相关采购文件。</w:t>
      </w:r>
    </w:p>
    <w:p w14:paraId="4F64D6FE">
      <w:pPr>
        <w:keepNext w:val="0"/>
        <w:keepLines w:val="0"/>
        <w:pageBreakBefore w:val="0"/>
        <w:widowControl w:val="0"/>
        <w:kinsoku/>
        <w:wordWrap/>
        <w:overflowPunct/>
        <w:topLinePunct w:val="0"/>
        <w:bidi w:val="0"/>
        <w:spacing w:line="360" w:lineRule="auto"/>
        <w:ind w:firstLine="422" w:firstLineChars="200"/>
        <w:textAlignment w:val="auto"/>
        <w:rPr>
          <w:rFonts w:ascii="楷体" w:hAnsi="楷体" w:eastAsia="楷体" w:cs="宋体"/>
          <w:b/>
          <w:color w:val="auto"/>
        </w:rPr>
      </w:pPr>
      <w:r>
        <w:rPr>
          <w:rFonts w:hint="eastAsia" w:ascii="楷体" w:hAnsi="楷体" w:eastAsia="楷体" w:cs="宋体"/>
          <w:b/>
          <w:color w:val="auto"/>
        </w:rPr>
        <w:t>1.2标的</w:t>
      </w:r>
    </w:p>
    <w:p w14:paraId="143C6C34">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u w:val="single"/>
        </w:rPr>
      </w:pPr>
      <w:r>
        <w:rPr>
          <w:rFonts w:hint="eastAsia" w:ascii="楷体" w:hAnsi="楷体" w:eastAsia="楷体" w:cs="宋体"/>
          <w:color w:val="auto"/>
        </w:rPr>
        <w:t>1.2.1 采购项目名称：</w:t>
      </w:r>
      <w:r>
        <w:rPr>
          <w:rFonts w:hint="eastAsia" w:ascii="楷体" w:hAnsi="楷体" w:eastAsia="楷体" w:cs="宋体"/>
          <w:color w:val="auto"/>
          <w:u w:val="single"/>
        </w:rPr>
        <w:t>东台市“十五五”供水规划项目</w:t>
      </w:r>
      <w:r>
        <w:rPr>
          <w:rFonts w:hint="eastAsia" w:ascii="楷体" w:hAnsi="楷体" w:eastAsia="楷体" w:cs="宋体"/>
          <w:color w:val="auto"/>
        </w:rPr>
        <w:t>；</w:t>
      </w:r>
    </w:p>
    <w:p w14:paraId="088247C3">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u w:val="single"/>
        </w:rPr>
      </w:pPr>
      <w:r>
        <w:rPr>
          <w:rFonts w:hint="eastAsia" w:ascii="楷体" w:hAnsi="楷体" w:eastAsia="楷体" w:cs="宋体"/>
          <w:color w:val="auto"/>
        </w:rPr>
        <w:t>1.2.2 标的数量：</w:t>
      </w:r>
      <w:r>
        <w:rPr>
          <w:rFonts w:hint="eastAsia" w:ascii="楷体" w:hAnsi="楷体" w:eastAsia="楷体" w:cs="宋体"/>
          <w:color w:val="auto"/>
          <w:u w:val="single"/>
        </w:rPr>
        <w:t xml:space="preserve">   一项  </w:t>
      </w:r>
      <w:r>
        <w:rPr>
          <w:rFonts w:hint="eastAsia" w:ascii="楷体" w:hAnsi="楷体" w:eastAsia="楷体" w:cs="宋体"/>
          <w:color w:val="auto"/>
        </w:rPr>
        <w:t>；</w:t>
      </w:r>
    </w:p>
    <w:p w14:paraId="37116B61">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u w:val="single"/>
        </w:rPr>
      </w:pPr>
      <w:r>
        <w:rPr>
          <w:rFonts w:hint="eastAsia" w:ascii="楷体" w:hAnsi="楷体" w:eastAsia="楷体" w:cs="宋体"/>
          <w:color w:val="auto"/>
        </w:rPr>
        <w:t>1.2.3 标的质量：</w:t>
      </w:r>
      <w:r>
        <w:rPr>
          <w:rFonts w:hint="eastAsia" w:ascii="楷体" w:hAnsi="楷体" w:eastAsia="楷体" w:cs="宋体"/>
          <w:color w:val="auto"/>
          <w:u w:val="single"/>
        </w:rPr>
        <w:t>　符合国家有关规定、竞争性</w:t>
      </w:r>
      <w:r>
        <w:rPr>
          <w:rFonts w:hint="eastAsia" w:ascii="楷体" w:hAnsi="楷体" w:eastAsia="楷体" w:cs="宋体"/>
          <w:color w:val="auto"/>
          <w:u w:val="single"/>
          <w:lang w:val="en-US" w:eastAsia="zh-CN"/>
        </w:rPr>
        <w:t>磋商</w:t>
      </w:r>
      <w:r>
        <w:rPr>
          <w:rFonts w:hint="eastAsia" w:ascii="楷体" w:hAnsi="楷体" w:eastAsia="楷体" w:cs="宋体"/>
          <w:color w:val="auto"/>
          <w:u w:val="single"/>
        </w:rPr>
        <w:t>文件、</w:t>
      </w:r>
      <w:r>
        <w:rPr>
          <w:rFonts w:hint="eastAsia" w:ascii="楷体" w:hAnsi="楷体" w:eastAsia="楷体" w:cs="宋体"/>
          <w:color w:val="auto"/>
          <w:u w:val="single"/>
          <w:lang w:val="en-US" w:eastAsia="zh-CN"/>
        </w:rPr>
        <w:t>响应</w:t>
      </w:r>
      <w:r>
        <w:rPr>
          <w:rFonts w:hint="eastAsia" w:ascii="楷体" w:hAnsi="楷体" w:eastAsia="楷体" w:cs="宋体"/>
          <w:color w:val="auto"/>
          <w:u w:val="single"/>
        </w:rPr>
        <w:t xml:space="preserve">文件及合同约定 。 </w:t>
      </w:r>
    </w:p>
    <w:p w14:paraId="5998C2D3">
      <w:pPr>
        <w:keepNext w:val="0"/>
        <w:keepLines w:val="0"/>
        <w:pageBreakBefore w:val="0"/>
        <w:widowControl w:val="0"/>
        <w:kinsoku/>
        <w:wordWrap/>
        <w:overflowPunct/>
        <w:topLinePunct w:val="0"/>
        <w:bidi w:val="0"/>
        <w:spacing w:line="360" w:lineRule="auto"/>
        <w:ind w:firstLine="422" w:firstLineChars="200"/>
        <w:textAlignment w:val="auto"/>
        <w:rPr>
          <w:rFonts w:ascii="楷体" w:hAnsi="楷体" w:eastAsia="楷体" w:cs="宋体"/>
          <w:b/>
          <w:color w:val="auto"/>
        </w:rPr>
      </w:pPr>
      <w:r>
        <w:rPr>
          <w:rFonts w:hint="eastAsia" w:ascii="楷体" w:hAnsi="楷体" w:eastAsia="楷体" w:cs="宋体"/>
          <w:b/>
          <w:color w:val="auto"/>
        </w:rPr>
        <w:t>1.3 价款</w:t>
      </w:r>
    </w:p>
    <w:p w14:paraId="2DC1A964">
      <w:pPr>
        <w:keepNext w:val="0"/>
        <w:keepLines w:val="0"/>
        <w:pageBreakBefore w:val="0"/>
        <w:widowControl w:val="0"/>
        <w:kinsoku/>
        <w:wordWrap/>
        <w:overflowPunct/>
        <w:topLinePunct w:val="0"/>
        <w:bidi w:val="0"/>
        <w:adjustRightInd w:val="0"/>
        <w:snapToGrid w:val="0"/>
        <w:spacing w:beforeLines="50" w:line="360" w:lineRule="auto"/>
        <w:ind w:firstLine="420" w:firstLineChars="200"/>
        <w:textAlignment w:val="auto"/>
        <w:rPr>
          <w:rFonts w:ascii="楷体" w:hAnsi="楷体" w:eastAsia="楷体" w:cs="楷体"/>
          <w:color w:val="auto"/>
        </w:rPr>
      </w:pPr>
      <w:r>
        <w:rPr>
          <w:rFonts w:hint="eastAsia" w:ascii="楷体" w:hAnsi="楷体" w:eastAsia="楷体" w:cs="楷体"/>
          <w:color w:val="auto"/>
        </w:rPr>
        <w:t>（1）合同金额小写：</w:t>
      </w:r>
      <w:r>
        <w:rPr>
          <w:rFonts w:hint="eastAsia" w:ascii="楷体" w:hAnsi="楷体" w:eastAsia="楷体" w:cs="楷体"/>
          <w:color w:val="auto"/>
          <w:u w:val="single"/>
        </w:rPr>
        <w:t xml:space="preserve">                      </w:t>
      </w:r>
    </w:p>
    <w:p w14:paraId="0D50C1C3">
      <w:pPr>
        <w:keepNext w:val="0"/>
        <w:keepLines w:val="0"/>
        <w:pageBreakBefore w:val="0"/>
        <w:widowControl w:val="0"/>
        <w:kinsoku/>
        <w:wordWrap/>
        <w:overflowPunct/>
        <w:topLinePunct w:val="0"/>
        <w:bidi w:val="0"/>
        <w:adjustRightInd w:val="0"/>
        <w:snapToGrid w:val="0"/>
        <w:spacing w:beforeLines="50" w:line="360" w:lineRule="auto"/>
        <w:ind w:firstLine="1260" w:firstLineChars="600"/>
        <w:textAlignment w:val="auto"/>
        <w:rPr>
          <w:rFonts w:ascii="楷体" w:hAnsi="楷体" w:eastAsia="楷体" w:cs="楷体"/>
          <w:b/>
          <w:color w:val="auto"/>
        </w:rPr>
      </w:pPr>
      <w:r>
        <w:rPr>
          <w:rFonts w:hint="eastAsia" w:ascii="楷体" w:hAnsi="楷体" w:eastAsia="楷体" w:cs="楷体"/>
          <w:color w:val="auto"/>
        </w:rPr>
        <w:t>大写：</w:t>
      </w:r>
      <w:r>
        <w:rPr>
          <w:rFonts w:hint="eastAsia" w:ascii="楷体" w:hAnsi="楷体" w:eastAsia="楷体" w:cs="楷体"/>
          <w:color w:val="auto"/>
          <w:u w:val="single"/>
        </w:rPr>
        <w:t xml:space="preserve">                      </w:t>
      </w:r>
    </w:p>
    <w:p w14:paraId="23725ABD">
      <w:pPr>
        <w:keepNext w:val="0"/>
        <w:keepLines w:val="0"/>
        <w:pageBreakBefore w:val="0"/>
        <w:widowControl w:val="0"/>
        <w:kinsoku/>
        <w:wordWrap/>
        <w:overflowPunct/>
        <w:topLinePunct w:val="0"/>
        <w:bidi w:val="0"/>
        <w:adjustRightInd w:val="0"/>
        <w:snapToGrid w:val="0"/>
        <w:spacing w:beforeLines="50" w:line="360" w:lineRule="auto"/>
        <w:ind w:firstLine="420" w:firstLineChars="200"/>
        <w:textAlignment w:val="auto"/>
        <w:rPr>
          <w:rFonts w:ascii="楷体" w:hAnsi="楷体" w:eastAsia="楷体" w:cs="楷体"/>
          <w:color w:val="auto"/>
        </w:rPr>
      </w:pPr>
      <w:r>
        <w:rPr>
          <w:rFonts w:hint="eastAsia" w:ascii="楷体" w:hAnsi="楷体" w:eastAsia="楷体" w:cs="楷体"/>
          <w:color w:val="auto"/>
        </w:rPr>
        <w:t>（2）具体标的见附件。</w:t>
      </w:r>
    </w:p>
    <w:p w14:paraId="1E643439">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楷体"/>
          <w:color w:val="auto"/>
        </w:rPr>
      </w:pPr>
      <w:r>
        <w:rPr>
          <w:rFonts w:hint="eastAsia" w:ascii="楷体" w:hAnsi="楷体" w:eastAsia="楷体" w:cs="楷体"/>
          <w:color w:val="auto"/>
        </w:rPr>
        <w:t>（3）合同价格形式：</w:t>
      </w:r>
      <w:r>
        <w:rPr>
          <w:rFonts w:hint="eastAsia" w:ascii="楷体" w:hAnsi="楷体" w:eastAsia="楷体" w:cs="楷体"/>
          <w:color w:val="auto"/>
          <w:u w:val="single"/>
        </w:rPr>
        <w:t xml:space="preserve"> 固定总价合同   </w:t>
      </w:r>
      <w:r>
        <w:rPr>
          <w:rFonts w:hint="eastAsia" w:ascii="楷体" w:hAnsi="楷体" w:eastAsia="楷体" w:cs="楷体"/>
          <w:color w:val="auto"/>
        </w:rPr>
        <w:t>。</w:t>
      </w:r>
    </w:p>
    <w:p w14:paraId="669B3D9A">
      <w:pPr>
        <w:keepNext w:val="0"/>
        <w:keepLines w:val="0"/>
        <w:pageBreakBefore w:val="0"/>
        <w:widowControl w:val="0"/>
        <w:kinsoku/>
        <w:wordWrap/>
        <w:overflowPunct/>
        <w:topLinePunct w:val="0"/>
        <w:bidi w:val="0"/>
        <w:spacing w:line="360" w:lineRule="auto"/>
        <w:ind w:firstLine="422" w:firstLineChars="200"/>
        <w:textAlignment w:val="auto"/>
        <w:rPr>
          <w:rFonts w:ascii="楷体" w:hAnsi="楷体" w:eastAsia="楷体" w:cs="宋体"/>
          <w:b/>
          <w:color w:val="auto"/>
        </w:rPr>
      </w:pPr>
      <w:r>
        <w:rPr>
          <w:rFonts w:hint="eastAsia" w:ascii="楷体" w:hAnsi="楷体" w:eastAsia="楷体" w:cs="宋体"/>
          <w:b/>
          <w:color w:val="auto"/>
        </w:rPr>
        <w:t>1.4 付款方式和发票开具方式</w:t>
      </w:r>
    </w:p>
    <w:p w14:paraId="2AEC38E5">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1.4.1 付款方式：</w:t>
      </w:r>
    </w:p>
    <w:p w14:paraId="2078B2A3">
      <w:pPr>
        <w:keepNext w:val="0"/>
        <w:keepLines w:val="0"/>
        <w:pageBreakBefore w:val="0"/>
        <w:widowControl w:val="0"/>
        <w:kinsoku/>
        <w:wordWrap/>
        <w:overflowPunct/>
        <w:topLinePunct w:val="0"/>
        <w:bidi w:val="0"/>
        <w:spacing w:line="360" w:lineRule="auto"/>
        <w:ind w:firstLine="420" w:firstLineChars="200"/>
        <w:textAlignment w:val="auto"/>
        <w:rPr>
          <w:rFonts w:hint="eastAsia" w:ascii="楷体" w:hAnsi="楷体" w:eastAsia="楷体" w:cs="宋体"/>
          <w:color w:val="auto"/>
          <w:highlight w:val="none"/>
        </w:rPr>
      </w:pPr>
      <w:r>
        <w:rPr>
          <w:rFonts w:hint="eastAsia" w:ascii="楷体" w:hAnsi="楷体" w:eastAsia="楷体" w:cs="宋体"/>
          <w:color w:val="auto"/>
          <w:highlight w:val="none"/>
        </w:rPr>
        <w:t xml:space="preserve">付款渠道：支付至乙方基本账户。 </w:t>
      </w:r>
    </w:p>
    <w:p w14:paraId="12C87E89">
      <w:pPr>
        <w:keepNext w:val="0"/>
        <w:keepLines w:val="0"/>
        <w:pageBreakBefore w:val="0"/>
        <w:widowControl w:val="0"/>
        <w:kinsoku/>
        <w:wordWrap/>
        <w:overflowPunct/>
        <w:topLinePunct w:val="0"/>
        <w:bidi w:val="0"/>
        <w:spacing w:line="360" w:lineRule="auto"/>
        <w:ind w:firstLine="420" w:firstLineChars="200"/>
        <w:textAlignment w:val="auto"/>
        <w:rPr>
          <w:rFonts w:hint="eastAsia" w:ascii="楷体" w:hAnsi="楷体" w:eastAsia="楷体" w:cs="宋体"/>
          <w:color w:val="auto"/>
          <w:highlight w:val="none"/>
        </w:rPr>
      </w:pPr>
      <w:r>
        <w:rPr>
          <w:rFonts w:hint="eastAsia" w:ascii="楷体" w:hAnsi="楷体" w:eastAsia="楷体" w:cs="宋体"/>
          <w:color w:val="auto"/>
          <w:highlight w:val="none"/>
        </w:rPr>
        <w:t>付款方式：</w:t>
      </w:r>
      <w:r>
        <w:rPr>
          <w:rFonts w:hint="eastAsia" w:ascii="楷体" w:hAnsi="楷体" w:eastAsia="楷体" w:cs="宋体"/>
          <w:color w:val="auto"/>
          <w:highlight w:val="none"/>
          <w:lang w:val="en-US" w:eastAsia="zh-CN"/>
        </w:rPr>
        <w:t>完成规划报告编制并通过评审后支付至合同约定额的50%，同时无息返还履约保证金，取得批复后</w:t>
      </w:r>
      <w:bookmarkStart w:id="143" w:name="_GoBack"/>
      <w:bookmarkEnd w:id="143"/>
      <w:r>
        <w:rPr>
          <w:rFonts w:hint="eastAsia" w:ascii="楷体" w:hAnsi="楷体" w:eastAsia="楷体" w:cs="宋体"/>
          <w:color w:val="auto"/>
          <w:highlight w:val="none"/>
          <w:lang w:val="en-US" w:eastAsia="zh-CN"/>
        </w:rPr>
        <w:t>支付至合同约定额的80%，余款自批复取得两年内支付至合同约定额100%（每年支付合同约定额的10%），期间如有需要配合完成相关报批及修编工作</w:t>
      </w:r>
      <w:r>
        <w:rPr>
          <w:rFonts w:hint="eastAsia" w:ascii="楷体" w:hAnsi="楷体" w:eastAsia="楷体" w:cs="宋体"/>
          <w:color w:val="auto"/>
          <w:highlight w:val="none"/>
        </w:rPr>
        <w:t>。</w:t>
      </w:r>
    </w:p>
    <w:p w14:paraId="7C7DC32F">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highlight w:val="none"/>
        </w:rPr>
        <w:t>本项目采用费用包干方式建设，供应商应根据项目要求及需要，详细列明项目所需的所有费用，应包括完成合同范围的全部工作内容所发生的全部费用、人工、管理、财务、培训、</w:t>
      </w:r>
      <w:r>
        <w:rPr>
          <w:rFonts w:hint="eastAsia" w:ascii="楷体" w:hAnsi="楷体" w:eastAsia="楷体" w:cs="宋体"/>
          <w:color w:val="auto"/>
          <w:highlight w:val="none"/>
          <w:lang w:val="en-US" w:eastAsia="zh-CN"/>
        </w:rPr>
        <w:t>专家评审费、</w:t>
      </w:r>
      <w:r>
        <w:rPr>
          <w:rFonts w:hint="eastAsia" w:ascii="楷体" w:hAnsi="楷体" w:eastAsia="楷体" w:cs="宋体"/>
          <w:color w:val="auto"/>
          <w:highlight w:val="none"/>
        </w:rPr>
        <w:t>后续服务等所有费用，如一旦中标，在项目实施中出现任何遗漏，均由成交供应商免费提供，采购人不再支付任何费用。</w:t>
      </w:r>
    </w:p>
    <w:p w14:paraId="38CCF8A2">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1.4.2 发票开具方式：</w:t>
      </w:r>
      <w:r>
        <w:rPr>
          <w:rFonts w:hint="eastAsia" w:ascii="楷体" w:hAnsi="楷体" w:eastAsia="楷体" w:cs="宋体"/>
          <w:color w:val="auto"/>
          <w:u w:val="single"/>
        </w:rPr>
        <w:t xml:space="preserve">   增值税专用发票   </w:t>
      </w:r>
      <w:r>
        <w:rPr>
          <w:rFonts w:hint="eastAsia" w:ascii="楷体" w:hAnsi="楷体" w:eastAsia="楷体" w:cs="宋体"/>
          <w:color w:val="auto"/>
        </w:rPr>
        <w:t>。</w:t>
      </w:r>
    </w:p>
    <w:p w14:paraId="43D20BAA">
      <w:pPr>
        <w:keepNext w:val="0"/>
        <w:keepLines w:val="0"/>
        <w:pageBreakBefore w:val="0"/>
        <w:widowControl w:val="0"/>
        <w:kinsoku/>
        <w:wordWrap/>
        <w:overflowPunct/>
        <w:topLinePunct w:val="0"/>
        <w:bidi w:val="0"/>
        <w:spacing w:line="360" w:lineRule="auto"/>
        <w:ind w:firstLine="422" w:firstLineChars="200"/>
        <w:textAlignment w:val="auto"/>
        <w:rPr>
          <w:rFonts w:ascii="楷体" w:hAnsi="楷体" w:eastAsia="楷体" w:cs="宋体"/>
          <w:b/>
          <w:color w:val="auto"/>
        </w:rPr>
      </w:pPr>
      <w:r>
        <w:rPr>
          <w:rFonts w:hint="eastAsia" w:ascii="楷体" w:hAnsi="楷体" w:eastAsia="楷体" w:cs="宋体"/>
          <w:b/>
          <w:color w:val="auto"/>
        </w:rPr>
        <w:t>1.5 履行期限、地点和方式</w:t>
      </w:r>
    </w:p>
    <w:p w14:paraId="38E86684">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u w:val="single"/>
        </w:rPr>
      </w:pPr>
      <w:r>
        <w:rPr>
          <w:rFonts w:hint="eastAsia" w:ascii="楷体" w:hAnsi="楷体" w:eastAsia="楷体" w:cs="宋体"/>
          <w:color w:val="auto"/>
        </w:rPr>
        <w:t>1.5.1 履行期限：</w:t>
      </w:r>
      <w:r>
        <w:rPr>
          <w:rFonts w:hint="eastAsia" w:ascii="楷体" w:hAnsi="楷体" w:eastAsia="楷体" w:cs="宋体"/>
          <w:color w:val="auto"/>
          <w:u w:val="single"/>
        </w:rPr>
        <w:t>自合同签订之日起90日历天内提交专家评审通过的成果</w:t>
      </w:r>
      <w:r>
        <w:rPr>
          <w:rFonts w:hint="eastAsia" w:ascii="楷体" w:hAnsi="楷体" w:eastAsia="楷体" w:cs="宋体"/>
          <w:color w:val="auto"/>
          <w:u w:val="single"/>
          <w:lang w:eastAsia="zh-CN"/>
        </w:rPr>
        <w:t>，</w:t>
      </w:r>
      <w:r>
        <w:rPr>
          <w:rFonts w:hint="eastAsia" w:ascii="楷体" w:hAnsi="楷体" w:eastAsia="楷体" w:cs="宋体"/>
          <w:color w:val="auto"/>
          <w:u w:val="single"/>
          <w:lang w:val="en-US" w:eastAsia="zh-CN"/>
        </w:rPr>
        <w:t>配合采购人做好成果报批及修编工作</w:t>
      </w:r>
      <w:r>
        <w:rPr>
          <w:rFonts w:hint="eastAsia" w:ascii="楷体" w:hAnsi="楷体" w:eastAsia="楷体" w:cs="宋体"/>
          <w:color w:val="auto"/>
        </w:rPr>
        <w:t>；</w:t>
      </w:r>
    </w:p>
    <w:p w14:paraId="71FAB785">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1.5.2 履行地点：</w:t>
      </w:r>
      <w:r>
        <w:rPr>
          <w:rFonts w:hint="eastAsia" w:ascii="楷体" w:hAnsi="楷体" w:eastAsia="楷体" w:cs="宋体"/>
          <w:color w:val="auto"/>
          <w:u w:val="single"/>
        </w:rPr>
        <w:t>甲方指定地点</w:t>
      </w:r>
      <w:r>
        <w:rPr>
          <w:rFonts w:hint="eastAsia" w:ascii="楷体" w:hAnsi="楷体" w:eastAsia="楷体" w:cs="宋体"/>
          <w:color w:val="auto"/>
        </w:rPr>
        <w:t>；</w:t>
      </w:r>
    </w:p>
    <w:p w14:paraId="34435B5D">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1.5.3 履行方式：</w:t>
      </w:r>
      <w:r>
        <w:rPr>
          <w:rFonts w:hint="eastAsia" w:ascii="楷体" w:hAnsi="楷体" w:eastAsia="楷体" w:cs="宋体"/>
          <w:color w:val="auto"/>
          <w:u w:val="single"/>
        </w:rPr>
        <w:t>　按</w:t>
      </w:r>
      <w:r>
        <w:rPr>
          <w:rFonts w:hint="eastAsia" w:ascii="楷体" w:hAnsi="楷体" w:eastAsia="楷体"/>
          <w:bCs/>
          <w:color w:val="auto"/>
          <w:u w:val="single"/>
        </w:rPr>
        <w:t>国家有关规定、</w:t>
      </w:r>
      <w:r>
        <w:rPr>
          <w:rFonts w:hint="eastAsia" w:ascii="楷体" w:hAnsi="楷体" w:eastAsia="楷体"/>
          <w:bCs/>
          <w:color w:val="auto"/>
          <w:u w:val="single"/>
          <w:lang w:val="en-US" w:eastAsia="zh-CN"/>
        </w:rPr>
        <w:t>竞争性磋商</w:t>
      </w:r>
      <w:r>
        <w:rPr>
          <w:rFonts w:hint="eastAsia" w:ascii="楷体" w:hAnsi="楷体" w:eastAsia="楷体"/>
          <w:bCs/>
          <w:color w:val="auto"/>
          <w:u w:val="single"/>
        </w:rPr>
        <w:t>文件、</w:t>
      </w:r>
      <w:r>
        <w:rPr>
          <w:rFonts w:hint="eastAsia" w:ascii="楷体" w:hAnsi="楷体" w:eastAsia="楷体"/>
          <w:bCs/>
          <w:color w:val="auto"/>
          <w:u w:val="single"/>
          <w:lang w:val="en-US" w:eastAsia="zh-CN"/>
        </w:rPr>
        <w:t>响应</w:t>
      </w:r>
      <w:r>
        <w:rPr>
          <w:rFonts w:hint="eastAsia" w:ascii="楷体" w:hAnsi="楷体" w:eastAsia="楷体"/>
          <w:bCs/>
          <w:color w:val="auto"/>
          <w:u w:val="single"/>
        </w:rPr>
        <w:t>文件及合同约定的内容</w:t>
      </w:r>
      <w:r>
        <w:rPr>
          <w:rFonts w:hint="eastAsia" w:ascii="楷体" w:hAnsi="楷体" w:eastAsia="楷体" w:cs="宋体"/>
          <w:color w:val="auto"/>
          <w:u w:val="single"/>
        </w:rPr>
        <w:t xml:space="preserve"> </w:t>
      </w:r>
      <w:r>
        <w:rPr>
          <w:rFonts w:hint="eastAsia" w:ascii="楷体" w:hAnsi="楷体" w:eastAsia="楷体" w:cs="宋体"/>
          <w:color w:val="auto"/>
        </w:rPr>
        <w:t>。</w:t>
      </w:r>
    </w:p>
    <w:p w14:paraId="05CB8812">
      <w:pPr>
        <w:keepNext w:val="0"/>
        <w:keepLines w:val="0"/>
        <w:pageBreakBefore w:val="0"/>
        <w:widowControl w:val="0"/>
        <w:kinsoku/>
        <w:wordWrap/>
        <w:overflowPunct/>
        <w:topLinePunct w:val="0"/>
        <w:bidi w:val="0"/>
        <w:spacing w:line="360" w:lineRule="auto"/>
        <w:ind w:firstLine="422" w:firstLineChars="200"/>
        <w:textAlignment w:val="auto"/>
        <w:rPr>
          <w:rFonts w:ascii="楷体" w:hAnsi="楷体" w:eastAsia="楷体" w:cs="宋体"/>
          <w:b/>
          <w:color w:val="auto"/>
        </w:rPr>
      </w:pPr>
      <w:r>
        <w:rPr>
          <w:rFonts w:hint="eastAsia" w:ascii="楷体" w:hAnsi="楷体" w:eastAsia="楷体" w:cs="宋体"/>
          <w:b/>
          <w:color w:val="auto"/>
        </w:rPr>
        <w:t>1.6 违约责任</w:t>
      </w:r>
    </w:p>
    <w:p w14:paraId="083C8E28">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1.6.1 除不可抗力外，如果乙方没有按照本合同约定的期限、地点和方式履行，那么甲方可要求乙方支付违约金，违约金按每迟延履行一日的应提供而未提供服务价格的</w:t>
      </w:r>
      <w:r>
        <w:rPr>
          <w:rFonts w:hint="eastAsia" w:ascii="楷体" w:hAnsi="楷体" w:eastAsia="楷体" w:cs="宋体"/>
          <w:color w:val="auto"/>
          <w:u w:val="single"/>
        </w:rPr>
        <w:t xml:space="preserve"> 0.5</w:t>
      </w:r>
      <w:r>
        <w:rPr>
          <w:rFonts w:hint="eastAsia" w:ascii="楷体" w:hAnsi="楷体" w:eastAsia="楷体" w:cs="宋体"/>
          <w:color w:val="auto"/>
        </w:rPr>
        <w:t>%计算，最高限额为本合同总价的</w:t>
      </w:r>
      <w:r>
        <w:rPr>
          <w:rFonts w:hint="eastAsia" w:ascii="楷体" w:hAnsi="楷体" w:eastAsia="楷体" w:cs="宋体"/>
          <w:color w:val="auto"/>
          <w:u w:val="single"/>
        </w:rPr>
        <w:t xml:space="preserve"> 10 </w:t>
      </w:r>
      <w:r>
        <w:rPr>
          <w:rFonts w:hint="eastAsia" w:ascii="楷体" w:hAnsi="楷体" w:eastAsia="楷体" w:cs="宋体"/>
          <w:color w:val="auto"/>
        </w:rPr>
        <w:t>%；迟延履行的违约金计算数额达到前述最高限额之日起，甲方有权在要求乙方支付违约金的同时，书面通知乙方解除本合同；</w:t>
      </w:r>
    </w:p>
    <w:p w14:paraId="16364879">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1.6.2 除不可抗力外，如果甲方没有按照本合同约定的付款方式付款，那么乙方可要求甲方支付违约金，违约金按每迟延付款一日的应付而未付款的</w:t>
      </w:r>
      <w:r>
        <w:rPr>
          <w:rFonts w:hint="eastAsia" w:ascii="楷体" w:hAnsi="楷体" w:eastAsia="楷体" w:cs="宋体"/>
          <w:color w:val="auto"/>
          <w:u w:val="single"/>
        </w:rPr>
        <w:t xml:space="preserve"> 0.5 </w:t>
      </w:r>
      <w:r>
        <w:rPr>
          <w:rFonts w:hint="eastAsia" w:ascii="楷体" w:hAnsi="楷体" w:eastAsia="楷体" w:cs="宋体"/>
          <w:color w:val="auto"/>
        </w:rPr>
        <w:t>%计算，最高限额为本合同总价的</w:t>
      </w:r>
      <w:r>
        <w:rPr>
          <w:rFonts w:hint="eastAsia" w:ascii="楷体" w:hAnsi="楷体" w:eastAsia="楷体" w:cs="宋体"/>
          <w:color w:val="auto"/>
          <w:u w:val="single"/>
        </w:rPr>
        <w:t xml:space="preserve"> 10 </w:t>
      </w:r>
      <w:r>
        <w:rPr>
          <w:rFonts w:hint="eastAsia" w:ascii="楷体" w:hAnsi="楷体" w:eastAsia="楷体" w:cs="宋体"/>
          <w:color w:val="auto"/>
        </w:rPr>
        <w:t>%；迟延付款的违约金计算数额达到前述最高限额之日起，乙方有权在要求甲方支付违约金的同时，书面通知甲方解除本合同；</w:t>
      </w:r>
    </w:p>
    <w:p w14:paraId="4190D24A">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A0EB73B">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8B7FD0">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bCs/>
          <w:color w:val="auto"/>
        </w:rPr>
        <w:t xml:space="preserve">1.6.5 </w:t>
      </w:r>
      <w:r>
        <w:rPr>
          <w:rFonts w:hint="eastAsia" w:ascii="楷体" w:hAnsi="楷体" w:eastAsia="楷体"/>
          <w:bCs/>
          <w:color w:val="auto"/>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1F1D53AA">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8FF083C">
      <w:pPr>
        <w:keepNext w:val="0"/>
        <w:keepLines w:val="0"/>
        <w:pageBreakBefore w:val="0"/>
        <w:widowControl w:val="0"/>
        <w:kinsoku/>
        <w:wordWrap/>
        <w:overflowPunct/>
        <w:topLinePunct w:val="0"/>
        <w:bidi w:val="0"/>
        <w:spacing w:line="360" w:lineRule="auto"/>
        <w:ind w:firstLine="422" w:firstLineChars="200"/>
        <w:textAlignment w:val="auto"/>
        <w:rPr>
          <w:rFonts w:ascii="楷体" w:hAnsi="楷体" w:eastAsia="楷体" w:cs="宋体"/>
          <w:b/>
          <w:color w:val="auto"/>
        </w:rPr>
      </w:pPr>
      <w:r>
        <w:rPr>
          <w:rFonts w:hint="eastAsia" w:ascii="楷体" w:hAnsi="楷体" w:eastAsia="楷体" w:cs="宋体"/>
          <w:b/>
          <w:color w:val="auto"/>
        </w:rPr>
        <w:t>1.7 合同争议的解决</w:t>
      </w:r>
    </w:p>
    <w:p w14:paraId="0585A175">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1.7.1 首先通过双方协商解决，协商解决不成，则通过以下途径之一解决纠纷：</w:t>
      </w:r>
    </w:p>
    <w:p w14:paraId="736F6C80">
      <w:pPr>
        <w:keepNext w:val="0"/>
        <w:keepLines w:val="0"/>
        <w:pageBreakBefore w:val="0"/>
        <w:widowControl w:val="0"/>
        <w:kinsoku/>
        <w:wordWrap/>
        <w:overflowPunct/>
        <w:topLinePunct w:val="0"/>
        <w:bidi w:val="0"/>
        <w:spacing w:line="360" w:lineRule="auto"/>
        <w:ind w:firstLine="420" w:firstLineChars="200"/>
        <w:textAlignment w:val="auto"/>
        <w:rPr>
          <w:rFonts w:hint="eastAsia" w:ascii="楷体" w:hAnsi="楷体" w:eastAsia="楷体" w:cs="宋体"/>
          <w:color w:val="auto"/>
        </w:rPr>
      </w:pPr>
      <w:r>
        <w:rPr>
          <w:rFonts w:hint="eastAsia" w:ascii="楷体" w:hAnsi="楷体" w:eastAsia="楷体" w:cs="宋体"/>
          <w:color w:val="auto"/>
        </w:rPr>
        <w:t xml:space="preserve">□ 提请仲裁       </w:t>
      </w:r>
      <w:r>
        <w:rPr>
          <w:rFonts w:ascii="Segoe UI Symbol" w:hAnsi="Segoe UI Symbol" w:eastAsia="楷体" w:cs="Segoe UI Symbol"/>
          <w:color w:val="auto"/>
        </w:rPr>
        <w:t>☑</w:t>
      </w:r>
      <w:r>
        <w:rPr>
          <w:rFonts w:hint="eastAsia" w:ascii="楷体" w:hAnsi="楷体" w:eastAsia="楷体" w:cs="宋体"/>
          <w:color w:val="auto"/>
        </w:rPr>
        <w:t xml:space="preserve"> 向</w:t>
      </w:r>
      <w:r>
        <w:rPr>
          <w:rFonts w:hint="eastAsia" w:ascii="楷体" w:hAnsi="楷体" w:eastAsia="楷体" w:cs="宋体"/>
          <w:color w:val="auto"/>
          <w:u w:val="single"/>
        </w:rPr>
        <w:t>东台市</w:t>
      </w:r>
      <w:r>
        <w:rPr>
          <w:rFonts w:hint="eastAsia" w:ascii="楷体" w:hAnsi="楷体" w:eastAsia="楷体" w:cs="宋体"/>
          <w:color w:val="auto"/>
        </w:rPr>
        <w:t>人民法院提起诉讼</w:t>
      </w:r>
    </w:p>
    <w:p w14:paraId="74B1CA34">
      <w:pPr>
        <w:keepNext w:val="0"/>
        <w:keepLines w:val="0"/>
        <w:pageBreakBefore w:val="0"/>
        <w:widowControl w:val="0"/>
        <w:kinsoku/>
        <w:wordWrap/>
        <w:overflowPunct/>
        <w:topLinePunct w:val="0"/>
        <w:bidi w:val="0"/>
        <w:spacing w:line="360" w:lineRule="auto"/>
        <w:ind w:firstLine="420" w:firstLineChars="200"/>
        <w:textAlignment w:val="auto"/>
        <w:rPr>
          <w:rFonts w:hint="eastAsia" w:ascii="楷体" w:hAnsi="楷体" w:eastAsia="楷体" w:cs="宋体"/>
          <w:color w:val="auto"/>
        </w:rPr>
      </w:pPr>
      <w:r>
        <w:rPr>
          <w:rFonts w:hint="eastAsia" w:ascii="楷体" w:hAnsi="楷体" w:eastAsia="楷体" w:cs="宋体"/>
          <w:color w:val="auto"/>
        </w:rPr>
        <w:t>因产生纠纷，需要通过法律途径主张权利，由此产生的相关损失（包括但不限于诉讼费、保全费、保全保险金、律师费等）由乙方承担。</w:t>
      </w:r>
    </w:p>
    <w:p w14:paraId="5C98B3BC">
      <w:pPr>
        <w:keepNext w:val="0"/>
        <w:keepLines w:val="0"/>
        <w:pageBreakBefore w:val="0"/>
        <w:widowControl w:val="0"/>
        <w:kinsoku/>
        <w:wordWrap/>
        <w:overflowPunct/>
        <w:topLinePunct w:val="0"/>
        <w:bidi w:val="0"/>
        <w:spacing w:line="360" w:lineRule="auto"/>
        <w:ind w:firstLine="422" w:firstLineChars="200"/>
        <w:textAlignment w:val="auto"/>
        <w:rPr>
          <w:rFonts w:ascii="楷体" w:hAnsi="楷体" w:eastAsia="楷体" w:cs="宋体"/>
          <w:b/>
          <w:color w:val="auto"/>
        </w:rPr>
      </w:pPr>
      <w:r>
        <w:rPr>
          <w:rFonts w:hint="eastAsia" w:ascii="楷体" w:hAnsi="楷体" w:eastAsia="楷体" w:cs="宋体"/>
          <w:b/>
          <w:color w:val="auto"/>
        </w:rPr>
        <w:t>1.8 合同生效</w:t>
      </w:r>
    </w:p>
    <w:p w14:paraId="506D7741">
      <w:pPr>
        <w:keepNext w:val="0"/>
        <w:keepLines w:val="0"/>
        <w:pageBreakBefore w:val="0"/>
        <w:widowControl w:val="0"/>
        <w:kinsoku/>
        <w:wordWrap/>
        <w:overflowPunct/>
        <w:topLinePunct w:val="0"/>
        <w:bidi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1.8.1 本合同</w:t>
      </w:r>
      <w:r>
        <w:rPr>
          <w:rFonts w:hint="eastAsia" w:ascii="楷体" w:hAnsi="楷体" w:eastAsia="楷体" w:cs="宋体"/>
          <w:color w:val="auto"/>
          <w:lang w:val="zh-CN"/>
        </w:rPr>
        <w:t>经甲乙双方代表签字并加盖公章（或合同章）后即生效。</w:t>
      </w:r>
    </w:p>
    <w:p w14:paraId="50F46FC6">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 xml:space="preserve">1.8.2 </w:t>
      </w:r>
      <w:r>
        <w:rPr>
          <w:rFonts w:hint="eastAsia" w:ascii="楷体" w:hAnsi="楷体" w:eastAsia="楷体" w:cs="楷体"/>
          <w:color w:val="auto"/>
        </w:rPr>
        <w:t>本合同一式</w:t>
      </w:r>
      <w:r>
        <w:rPr>
          <w:rFonts w:hint="eastAsia" w:ascii="楷体" w:hAnsi="楷体" w:eastAsia="楷体" w:cs="楷体"/>
          <w:color w:val="auto"/>
          <w:u w:val="single"/>
        </w:rPr>
        <w:t>六</w:t>
      </w:r>
      <w:r>
        <w:rPr>
          <w:rFonts w:hint="eastAsia" w:ascii="楷体" w:hAnsi="楷体" w:eastAsia="楷体" w:cs="楷体"/>
          <w:color w:val="auto"/>
        </w:rPr>
        <w:t>份，采购人执</w:t>
      </w:r>
      <w:r>
        <w:rPr>
          <w:rFonts w:hint="eastAsia" w:ascii="楷体" w:hAnsi="楷体" w:eastAsia="楷体" w:cs="楷体"/>
          <w:color w:val="auto"/>
          <w:u w:val="single"/>
        </w:rPr>
        <w:t>二</w:t>
      </w:r>
      <w:r>
        <w:rPr>
          <w:rFonts w:hint="eastAsia" w:ascii="楷体" w:hAnsi="楷体" w:eastAsia="楷体" w:cs="楷体"/>
          <w:color w:val="auto"/>
        </w:rPr>
        <w:t>份，供应商执</w:t>
      </w:r>
      <w:r>
        <w:rPr>
          <w:rFonts w:hint="eastAsia" w:ascii="楷体" w:hAnsi="楷体" w:eastAsia="楷体" w:cs="楷体"/>
          <w:color w:val="auto"/>
          <w:u w:val="single"/>
        </w:rPr>
        <w:t>二</w:t>
      </w:r>
      <w:r>
        <w:rPr>
          <w:rFonts w:hint="eastAsia" w:ascii="楷体" w:hAnsi="楷体" w:eastAsia="楷体" w:cs="楷体"/>
          <w:color w:val="auto"/>
        </w:rPr>
        <w:t>份，均具有同等法律效力，其余分送相关部门。</w:t>
      </w:r>
    </w:p>
    <w:p w14:paraId="7DD625A1">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ascii="楷体" w:hAnsi="楷体" w:eastAsia="楷体" w:cs="宋体"/>
          <w:color w:val="auto"/>
        </w:rPr>
      </w:pPr>
    </w:p>
    <w:p w14:paraId="17D63E31">
      <w:pPr>
        <w:keepNext w:val="0"/>
        <w:keepLines w:val="0"/>
        <w:pageBreakBefore w:val="0"/>
        <w:widowControl w:val="0"/>
        <w:kinsoku/>
        <w:wordWrap/>
        <w:overflowPunct/>
        <w:topLinePunct w:val="0"/>
        <w:autoSpaceDE w:val="0"/>
        <w:autoSpaceDN w:val="0"/>
        <w:bidi w:val="0"/>
        <w:adjustRightInd w:val="0"/>
        <w:spacing w:line="360" w:lineRule="auto"/>
        <w:ind w:left="5342" w:leftChars="1" w:hanging="5340" w:hangingChars="2533"/>
        <w:textAlignment w:val="auto"/>
        <w:rPr>
          <w:rFonts w:ascii="楷体" w:hAnsi="楷体" w:eastAsia="楷体" w:cs="宋体"/>
          <w:color w:val="auto"/>
          <w:lang w:val="zh-CN"/>
        </w:rPr>
      </w:pPr>
      <w:r>
        <w:rPr>
          <w:rFonts w:hint="eastAsia" w:ascii="楷体" w:hAnsi="楷体" w:eastAsia="楷体" w:cs="宋体"/>
          <w:b/>
          <w:color w:val="auto"/>
          <w:lang w:val="zh-CN"/>
        </w:rPr>
        <w:t>甲方</w:t>
      </w:r>
      <w:r>
        <w:rPr>
          <w:rFonts w:hint="eastAsia" w:ascii="楷体" w:hAnsi="楷体" w:eastAsia="楷体" w:cs="宋体"/>
          <w:color w:val="auto"/>
          <w:lang w:val="zh-CN"/>
        </w:rPr>
        <w:t xml:space="preserve">：                                   </w:t>
      </w:r>
      <w:r>
        <w:rPr>
          <w:rFonts w:hint="eastAsia" w:ascii="楷体" w:hAnsi="楷体" w:eastAsia="楷体" w:cs="宋体"/>
          <w:b/>
          <w:color w:val="auto"/>
          <w:lang w:val="zh-CN"/>
        </w:rPr>
        <w:t>乙方</w:t>
      </w:r>
      <w:r>
        <w:rPr>
          <w:rFonts w:hint="eastAsia" w:ascii="楷体" w:hAnsi="楷体" w:eastAsia="楷体" w:cs="宋体"/>
          <w:color w:val="auto"/>
          <w:lang w:val="zh-CN"/>
        </w:rPr>
        <w:t xml:space="preserve">： </w:t>
      </w:r>
    </w:p>
    <w:p w14:paraId="0B023908">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lang w:val="zh-CN"/>
        </w:rPr>
      </w:pPr>
      <w:r>
        <w:rPr>
          <w:rFonts w:hint="eastAsia" w:ascii="楷体" w:hAnsi="楷体" w:eastAsia="楷体" w:cs="宋体"/>
          <w:color w:val="auto"/>
          <w:lang w:val="zh-CN"/>
        </w:rPr>
        <w:t>统一社会信用代码：                       统一社会信用代码身份证号码：</w:t>
      </w:r>
    </w:p>
    <w:p w14:paraId="171392B5">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lang w:val="zh-CN"/>
        </w:rPr>
      </w:pPr>
      <w:r>
        <w:rPr>
          <w:rFonts w:hint="eastAsia" w:ascii="楷体" w:hAnsi="楷体" w:eastAsia="楷体" w:cs="宋体"/>
          <w:color w:val="auto"/>
          <w:lang w:val="zh-CN"/>
        </w:rPr>
        <w:t>住所：                                   住所：</w:t>
      </w:r>
    </w:p>
    <w:p w14:paraId="2BA50247">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lang w:val="zh-CN"/>
        </w:rPr>
      </w:pPr>
      <w:r>
        <w:rPr>
          <w:rFonts w:hint="eastAsia" w:ascii="楷体" w:hAnsi="楷体" w:eastAsia="楷体" w:cs="宋体"/>
          <w:color w:val="auto"/>
          <w:lang w:val="zh-CN"/>
        </w:rPr>
        <w:t>法定代表人或                             法定代表人</w:t>
      </w:r>
    </w:p>
    <w:p w14:paraId="76E12F53">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lang w:val="zh-CN"/>
        </w:rPr>
      </w:pPr>
      <w:r>
        <w:rPr>
          <w:rFonts w:hint="eastAsia" w:ascii="楷体" w:hAnsi="楷体" w:eastAsia="楷体" w:cs="宋体"/>
          <w:color w:val="auto"/>
          <w:lang w:val="zh-CN"/>
        </w:rPr>
        <w:t xml:space="preserve">授权代表（签字）：                        或授权代表（签字）: </w:t>
      </w:r>
    </w:p>
    <w:p w14:paraId="1F9D46CC">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lang w:val="zh-CN"/>
        </w:rPr>
      </w:pPr>
      <w:r>
        <w:rPr>
          <w:rFonts w:hint="eastAsia" w:ascii="楷体" w:hAnsi="楷体" w:eastAsia="楷体" w:cs="宋体"/>
          <w:color w:val="auto"/>
          <w:lang w:val="zh-CN"/>
        </w:rPr>
        <w:t xml:space="preserve">联系人：                                 项目负责人： </w:t>
      </w:r>
    </w:p>
    <w:p w14:paraId="56BB34F2">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lang w:val="zh-CN"/>
        </w:rPr>
      </w:pPr>
      <w:r>
        <w:rPr>
          <w:rFonts w:hint="eastAsia" w:ascii="楷体" w:hAnsi="楷体" w:eastAsia="楷体" w:cs="宋体"/>
          <w:color w:val="auto"/>
          <w:lang w:val="zh-CN"/>
        </w:rPr>
        <w:t>约定送达地址：                           约定送达地址：</w:t>
      </w:r>
    </w:p>
    <w:p w14:paraId="2EA3D2C8">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lang w:val="zh-CN"/>
        </w:rPr>
      </w:pPr>
      <w:r>
        <w:rPr>
          <w:rFonts w:hint="eastAsia" w:ascii="楷体" w:hAnsi="楷体" w:eastAsia="楷体" w:cs="宋体"/>
          <w:color w:val="auto"/>
          <w:lang w:val="zh-CN"/>
        </w:rPr>
        <w:t>邮政编码：                               邮政编码：</w:t>
      </w:r>
    </w:p>
    <w:p w14:paraId="11E4FF61">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lang w:val="zh-CN"/>
        </w:rPr>
      </w:pPr>
      <w:r>
        <w:rPr>
          <w:rFonts w:hint="eastAsia" w:ascii="楷体" w:hAnsi="楷体" w:eastAsia="楷体" w:cs="宋体"/>
          <w:color w:val="auto"/>
          <w:lang w:val="zh-CN"/>
        </w:rPr>
        <w:t xml:space="preserve">电话:                                    电话: </w:t>
      </w:r>
    </w:p>
    <w:p w14:paraId="23F1E27B">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lang w:val="zh-CN"/>
        </w:rPr>
      </w:pPr>
      <w:r>
        <w:rPr>
          <w:rFonts w:hint="eastAsia" w:ascii="楷体" w:hAnsi="楷体" w:eastAsia="楷体" w:cs="宋体"/>
          <w:color w:val="auto"/>
          <w:lang w:val="zh-CN"/>
        </w:rPr>
        <w:t>传真:                                    传真:</w:t>
      </w:r>
    </w:p>
    <w:p w14:paraId="02096924">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rPr>
      </w:pPr>
      <w:r>
        <w:rPr>
          <w:rFonts w:hint="eastAsia" w:ascii="楷体" w:hAnsi="楷体" w:eastAsia="楷体" w:cs="宋体"/>
          <w:color w:val="auto"/>
          <w:lang w:val="zh-CN"/>
        </w:rPr>
        <w:t>电子邮箱：                               电子邮箱：</w:t>
      </w:r>
    </w:p>
    <w:p w14:paraId="4F985341">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rPr>
      </w:pPr>
      <w:r>
        <w:rPr>
          <w:rFonts w:hint="eastAsia" w:ascii="楷体" w:hAnsi="楷体" w:eastAsia="楷体" w:cs="宋体"/>
          <w:color w:val="auto"/>
        </w:rPr>
        <w:t xml:space="preserve">开户银行：                               开户银行： </w:t>
      </w:r>
    </w:p>
    <w:p w14:paraId="0664C41A">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ascii="楷体" w:hAnsi="楷体" w:eastAsia="楷体" w:cs="宋体"/>
          <w:color w:val="auto"/>
        </w:rPr>
      </w:pPr>
      <w:r>
        <w:rPr>
          <w:rFonts w:hint="eastAsia" w:ascii="楷体" w:hAnsi="楷体" w:eastAsia="楷体" w:cs="宋体"/>
          <w:color w:val="auto"/>
        </w:rPr>
        <w:t xml:space="preserve">开户名称：                               开户名称： </w:t>
      </w:r>
    </w:p>
    <w:p w14:paraId="566224AF">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hint="eastAsia" w:ascii="楷体" w:hAnsi="楷体" w:eastAsia="楷体" w:cs="宋体"/>
          <w:color w:val="auto"/>
        </w:rPr>
      </w:pPr>
      <w:r>
        <w:rPr>
          <w:rFonts w:hint="eastAsia" w:ascii="楷体" w:hAnsi="楷体" w:eastAsia="楷体" w:cs="宋体"/>
          <w:color w:val="auto"/>
        </w:rPr>
        <w:t>开户账号：</w:t>
      </w:r>
      <w:r>
        <w:rPr>
          <w:rFonts w:hint="eastAsia" w:ascii="楷体" w:hAnsi="楷体" w:eastAsia="楷体" w:cs="宋体"/>
          <w:color w:val="auto"/>
          <w:lang w:val="zh-CN"/>
        </w:rPr>
        <w:t xml:space="preserve">                               </w:t>
      </w:r>
      <w:r>
        <w:rPr>
          <w:rFonts w:hint="eastAsia" w:ascii="楷体" w:hAnsi="楷体" w:eastAsia="楷体" w:cs="宋体"/>
          <w:color w:val="auto"/>
        </w:rPr>
        <w:t>开户账号：</w:t>
      </w:r>
    </w:p>
    <w:p w14:paraId="0544150E">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textAlignment w:val="auto"/>
        <w:rPr>
          <w:rFonts w:hint="eastAsia" w:ascii="楷体" w:hAnsi="楷体" w:eastAsia="楷体" w:cs="宋体"/>
          <w:color w:val="auto"/>
        </w:rPr>
      </w:pPr>
    </w:p>
    <w:p w14:paraId="4D395B79">
      <w:pPr>
        <w:keepNext w:val="0"/>
        <w:keepLines w:val="0"/>
        <w:pageBreakBefore w:val="0"/>
        <w:widowControl w:val="0"/>
        <w:kinsoku/>
        <w:wordWrap/>
        <w:overflowPunct/>
        <w:topLinePunct w:val="0"/>
        <w:autoSpaceDE w:val="0"/>
        <w:autoSpaceDN w:val="0"/>
        <w:bidi w:val="0"/>
        <w:adjustRightInd w:val="0"/>
        <w:spacing w:line="360" w:lineRule="auto"/>
        <w:ind w:left="5745" w:leftChars="1" w:hanging="5743" w:hangingChars="2735"/>
        <w:jc w:val="right"/>
        <w:textAlignment w:val="auto"/>
        <w:rPr>
          <w:rFonts w:hint="default" w:ascii="楷体" w:hAnsi="楷体" w:eastAsia="楷体" w:cs="宋体"/>
          <w:color w:val="auto"/>
          <w:lang w:val="en-US" w:eastAsia="zh-CN"/>
        </w:rPr>
      </w:pPr>
      <w:r>
        <w:rPr>
          <w:rFonts w:hint="eastAsia" w:ascii="楷体" w:hAnsi="楷体" w:eastAsia="楷体" w:cs="宋体"/>
          <w:color w:val="auto"/>
          <w:lang w:val="en-US" w:eastAsia="zh-CN"/>
        </w:rPr>
        <w:t>年    月    日</w:t>
      </w:r>
    </w:p>
    <w:p w14:paraId="6123971E">
      <w:pPr>
        <w:pStyle w:val="35"/>
        <w:spacing w:line="560" w:lineRule="exact"/>
        <w:ind w:left="1058" w:leftChars="503" w:hanging="2"/>
        <w:jc w:val="center"/>
        <w:rPr>
          <w:rFonts w:ascii="楷体" w:hAnsi="楷体" w:eastAsia="楷体" w:cs="宋体"/>
          <w:b/>
          <w:color w:val="auto"/>
          <w:sz w:val="21"/>
          <w:szCs w:val="21"/>
        </w:rPr>
      </w:pPr>
    </w:p>
    <w:p w14:paraId="25A711BC">
      <w:pPr>
        <w:pStyle w:val="35"/>
        <w:spacing w:line="560" w:lineRule="exact"/>
        <w:ind w:firstLine="200"/>
        <w:jc w:val="center"/>
        <w:rPr>
          <w:rFonts w:ascii="楷体" w:hAnsi="楷体" w:eastAsia="楷体" w:cs="宋体"/>
          <w:b/>
          <w:color w:val="auto"/>
          <w:sz w:val="21"/>
          <w:szCs w:val="21"/>
        </w:rPr>
      </w:pPr>
    </w:p>
    <w:p w14:paraId="50105D68">
      <w:pPr>
        <w:pStyle w:val="35"/>
        <w:spacing w:line="560" w:lineRule="exact"/>
        <w:ind w:firstLine="200"/>
        <w:jc w:val="center"/>
        <w:rPr>
          <w:rFonts w:ascii="楷体" w:hAnsi="楷体" w:eastAsia="楷体" w:cs="宋体"/>
          <w:b/>
          <w:color w:val="auto"/>
          <w:sz w:val="21"/>
          <w:szCs w:val="21"/>
        </w:rPr>
      </w:pPr>
    </w:p>
    <w:p w14:paraId="1B447EE9">
      <w:pPr>
        <w:pStyle w:val="35"/>
        <w:spacing w:line="560" w:lineRule="exact"/>
        <w:ind w:firstLine="200"/>
        <w:jc w:val="center"/>
        <w:rPr>
          <w:rFonts w:ascii="楷体" w:hAnsi="楷体" w:eastAsia="楷体" w:cs="宋体"/>
          <w:b/>
          <w:color w:val="auto"/>
          <w:sz w:val="21"/>
          <w:szCs w:val="21"/>
        </w:rPr>
      </w:pPr>
    </w:p>
    <w:p w14:paraId="5CE63B15">
      <w:pPr>
        <w:pStyle w:val="35"/>
        <w:spacing w:line="560" w:lineRule="exact"/>
        <w:ind w:firstLine="0"/>
        <w:jc w:val="both"/>
        <w:rPr>
          <w:rFonts w:ascii="楷体" w:hAnsi="楷体" w:eastAsia="楷体" w:cs="宋体"/>
          <w:b/>
          <w:color w:val="auto"/>
          <w:sz w:val="21"/>
          <w:szCs w:val="21"/>
        </w:rPr>
      </w:pPr>
    </w:p>
    <w:p w14:paraId="4EEF2249">
      <w:pPr>
        <w:pStyle w:val="35"/>
        <w:spacing w:line="560" w:lineRule="exact"/>
        <w:ind w:firstLine="0"/>
        <w:jc w:val="center"/>
        <w:rPr>
          <w:rFonts w:ascii="楷体" w:hAnsi="楷体" w:eastAsia="楷体" w:cs="宋体"/>
          <w:b/>
          <w:color w:val="auto"/>
          <w:sz w:val="21"/>
          <w:szCs w:val="21"/>
        </w:rPr>
      </w:pPr>
    </w:p>
    <w:p w14:paraId="709EEE96">
      <w:pPr>
        <w:pStyle w:val="35"/>
        <w:keepNext w:val="0"/>
        <w:keepLines w:val="0"/>
        <w:pageBreakBefore w:val="0"/>
        <w:widowControl w:val="0"/>
        <w:kinsoku/>
        <w:wordWrap/>
        <w:overflowPunct/>
        <w:topLinePunct w:val="0"/>
        <w:bidi w:val="0"/>
        <w:snapToGrid/>
        <w:spacing w:line="360" w:lineRule="auto"/>
        <w:ind w:firstLine="0"/>
        <w:jc w:val="center"/>
        <w:textAlignment w:val="auto"/>
        <w:rPr>
          <w:rFonts w:ascii="楷体" w:hAnsi="楷体" w:eastAsia="楷体" w:cs="宋体"/>
          <w:b/>
          <w:color w:val="auto"/>
          <w:sz w:val="21"/>
          <w:szCs w:val="21"/>
        </w:rPr>
      </w:pPr>
      <w:r>
        <w:rPr>
          <w:rFonts w:ascii="楷体" w:hAnsi="楷体" w:eastAsia="楷体" w:cs="宋体"/>
          <w:b/>
          <w:color w:val="auto"/>
          <w:sz w:val="21"/>
          <w:szCs w:val="21"/>
        </w:rPr>
        <w:br w:type="page"/>
      </w:r>
      <w:r>
        <w:rPr>
          <w:rFonts w:hint="eastAsia" w:ascii="楷体" w:hAnsi="楷体" w:eastAsia="楷体" w:cs="宋体"/>
          <w:b/>
          <w:color w:val="auto"/>
          <w:sz w:val="21"/>
          <w:szCs w:val="21"/>
        </w:rPr>
        <w:t>第二部分 合同条款</w:t>
      </w:r>
    </w:p>
    <w:p w14:paraId="69540C4D">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12" w:name="_Ref467378463"/>
      <w:bookmarkStart w:id="13" w:name="_Toc31297"/>
      <w:bookmarkStart w:id="14" w:name="_Ref467379101"/>
      <w:bookmarkStart w:id="15" w:name="_Ref467378499"/>
      <w:bookmarkStart w:id="16" w:name="_Toc14021"/>
      <w:bookmarkStart w:id="17" w:name="_Toc279701240"/>
      <w:bookmarkStart w:id="18" w:name="_Ref467379195"/>
      <w:bookmarkStart w:id="19" w:name="_Toc19680"/>
      <w:bookmarkStart w:id="20" w:name="_Ref467379094"/>
      <w:bookmarkStart w:id="21" w:name="_Ref467379109"/>
      <w:bookmarkStart w:id="22" w:name="_Ref467378404"/>
      <w:bookmarkStart w:id="23" w:name="_Toc25079"/>
      <w:bookmarkStart w:id="24" w:name="_Toc487900349"/>
      <w:bookmarkStart w:id="25" w:name="_Toc5228"/>
      <w:bookmarkStart w:id="26" w:name="_Toc259093669"/>
      <w:bookmarkStart w:id="27" w:name="_Ref467379225"/>
      <w:bookmarkStart w:id="28" w:name="_Ref467379214"/>
      <w:bookmarkStart w:id="29" w:name="_Ref467379205"/>
      <w:r>
        <w:rPr>
          <w:rFonts w:hint="eastAsia" w:ascii="楷体" w:hAnsi="楷体" w:eastAsia="楷体" w:cs="宋体"/>
          <w:b/>
          <w:color w:val="auto"/>
        </w:rPr>
        <w:t>2.1 定义</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5BE7913">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本合同中的下列词语应按以下内容进行解释：</w:t>
      </w:r>
    </w:p>
    <w:p w14:paraId="16E119AE">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2.1.1 “合同”系指采购人和中标供应商签订的载明双方当事人所达成的协议，并包括所有的附件、附录和构成合同的其他文件。</w:t>
      </w:r>
    </w:p>
    <w:p w14:paraId="7073F7D9">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2.1.2 “合同价”系指根据合同约定，中标供应商在完全履行合同义务后，采购人应支付给中标供应商的价格。</w:t>
      </w:r>
    </w:p>
    <w:p w14:paraId="2C156393">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2.1.3 “服务”系指中标供应商根据合同约定应向采购人履行的除货物和工程以外的其他政府采购对象，包括采购人自身需要的服务和向社会公众提供的公共服务。</w:t>
      </w:r>
    </w:p>
    <w:p w14:paraId="4671108C">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bookmarkStart w:id="30" w:name="_Ref467378840"/>
      <w:r>
        <w:rPr>
          <w:rFonts w:hint="eastAsia" w:ascii="楷体" w:hAnsi="楷体" w:eastAsia="楷体" w:cs="宋体"/>
          <w:color w:val="auto"/>
        </w:rPr>
        <w:t>2.1.4 “甲方”系指与中标供应商签署合同的采购人</w:t>
      </w:r>
      <w:bookmarkEnd w:id="30"/>
      <w:r>
        <w:rPr>
          <w:rFonts w:hint="eastAsia" w:ascii="楷体" w:hAnsi="楷体" w:eastAsia="楷体" w:cs="宋体"/>
          <w:color w:val="auto"/>
        </w:rPr>
        <w:t>；采购人委托采购代理机构代表其与乙方签订合同的，采购人的授权委托书作为合同附件。</w:t>
      </w:r>
    </w:p>
    <w:p w14:paraId="6FF06C82">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bookmarkStart w:id="31" w:name="_Ref467379400"/>
      <w:r>
        <w:rPr>
          <w:rFonts w:hint="eastAsia" w:ascii="楷体" w:hAnsi="楷体" w:eastAsia="楷体" w:cs="宋体"/>
          <w:color w:val="auto"/>
        </w:rPr>
        <w:t>2.1.5 “乙方”系指根据合同约定提供服务的中标供应商</w:t>
      </w:r>
      <w:bookmarkEnd w:id="31"/>
      <w:r>
        <w:rPr>
          <w:rFonts w:hint="eastAsia" w:ascii="楷体" w:hAnsi="楷体" w:eastAsia="楷体" w:cs="宋体"/>
          <w:color w:val="auto"/>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82F12E">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bookmarkStart w:id="32" w:name="_Ref467379436"/>
      <w:r>
        <w:rPr>
          <w:rFonts w:hint="eastAsia" w:ascii="楷体" w:hAnsi="楷体" w:eastAsia="楷体" w:cs="宋体"/>
          <w:color w:val="auto"/>
        </w:rPr>
        <w:t>2.1.6 “现场”系指合同约定提供服务的地点。</w:t>
      </w:r>
      <w:bookmarkEnd w:id="32"/>
    </w:p>
    <w:p w14:paraId="4991D161">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33" w:name="_Toc19539"/>
      <w:bookmarkStart w:id="34" w:name="_Toc23289"/>
      <w:bookmarkStart w:id="35" w:name="_Toc3769"/>
      <w:bookmarkStart w:id="36" w:name="_Toc279701241"/>
      <w:bookmarkStart w:id="37" w:name="_Toc31402"/>
      <w:bookmarkStart w:id="38" w:name="_Toc259093670"/>
      <w:bookmarkStart w:id="39" w:name="_Toc487900350"/>
      <w:bookmarkStart w:id="40" w:name="_Toc16752"/>
      <w:r>
        <w:rPr>
          <w:rFonts w:hint="eastAsia" w:ascii="楷体" w:hAnsi="楷体" w:eastAsia="楷体" w:cs="宋体"/>
          <w:b/>
          <w:color w:val="auto"/>
        </w:rPr>
        <w:t>2.2 技术规范</w:t>
      </w:r>
      <w:bookmarkEnd w:id="33"/>
      <w:bookmarkEnd w:id="34"/>
      <w:bookmarkEnd w:id="35"/>
      <w:bookmarkEnd w:id="36"/>
      <w:bookmarkEnd w:id="37"/>
      <w:bookmarkEnd w:id="38"/>
      <w:bookmarkEnd w:id="39"/>
      <w:bookmarkEnd w:id="40"/>
    </w:p>
    <w:p w14:paraId="35246502">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3E085A4">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41" w:name="_Toc13673"/>
      <w:bookmarkStart w:id="42" w:name="_Toc27945"/>
      <w:bookmarkStart w:id="43" w:name="_Toc279701242"/>
      <w:bookmarkStart w:id="44" w:name="_Toc9161"/>
      <w:bookmarkStart w:id="45" w:name="_Toc12412"/>
      <w:bookmarkStart w:id="46" w:name="_Toc487900351"/>
      <w:bookmarkStart w:id="47" w:name="_Toc259093671"/>
      <w:bookmarkStart w:id="48" w:name="_Toc4133"/>
      <w:r>
        <w:rPr>
          <w:rFonts w:hint="eastAsia" w:ascii="楷体" w:hAnsi="楷体" w:eastAsia="楷体" w:cs="宋体"/>
          <w:b/>
          <w:color w:val="auto"/>
        </w:rPr>
        <w:t>2.3 知识产权</w:t>
      </w:r>
      <w:bookmarkEnd w:id="41"/>
      <w:bookmarkEnd w:id="42"/>
      <w:bookmarkEnd w:id="43"/>
      <w:bookmarkEnd w:id="44"/>
      <w:bookmarkEnd w:id="45"/>
      <w:bookmarkEnd w:id="46"/>
      <w:bookmarkEnd w:id="47"/>
      <w:bookmarkEnd w:id="48"/>
    </w:p>
    <w:p w14:paraId="41422E09">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17584AB9">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2.3.2 技术成果归属甲方。</w:t>
      </w:r>
    </w:p>
    <w:p w14:paraId="25E9062E">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r>
        <w:rPr>
          <w:rFonts w:hint="eastAsia" w:ascii="楷体" w:hAnsi="楷体" w:eastAsia="楷体" w:cs="宋体"/>
          <w:b/>
          <w:color w:val="auto"/>
        </w:rPr>
        <w:t>2.4 履约检查和问题反馈</w:t>
      </w:r>
    </w:p>
    <w:p w14:paraId="63E780BC">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bookmarkStart w:id="49" w:name="_Ref467379657"/>
      <w:r>
        <w:rPr>
          <w:rFonts w:hint="eastAsia" w:ascii="楷体" w:hAnsi="楷体" w:eastAsia="楷体" w:cs="宋体"/>
          <w:color w:val="auto"/>
        </w:rPr>
        <w:t>2.4.1</w:t>
      </w:r>
      <w:bookmarkEnd w:id="49"/>
      <w:bookmarkStart w:id="50" w:name="_Toc186431854"/>
      <w:bookmarkStart w:id="51" w:name="_Ref467379793"/>
      <w:bookmarkStart w:id="52" w:name="_Toc487900357"/>
      <w:bookmarkStart w:id="53" w:name="_Toc279701247"/>
      <w:bookmarkStart w:id="54" w:name="_Toc259093676"/>
      <w:bookmarkStart w:id="55" w:name="_Ref467379807"/>
      <w:r>
        <w:rPr>
          <w:rFonts w:hint="eastAsia" w:ascii="楷体" w:hAnsi="楷体" w:eastAsia="楷体" w:cs="宋体"/>
          <w:color w:val="auto"/>
        </w:rPr>
        <w:t>甲方有权在其认为必要时，对乙方是否能够按照合同约定提供服务进行履约检查，以确保乙方所提供的服务能够依约满足甲方之项目需求，但不得因履约检查妨碍乙方的正常工作，乙方应予积极配合；</w:t>
      </w:r>
    </w:p>
    <w:p w14:paraId="33601D4B">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2.4.2 合同履行期间，甲方有权将履行过程中出现的问题反馈给乙方，双方当事人应以书面形式约定需要完善和改进的内容</w:t>
      </w:r>
      <w:bookmarkEnd w:id="50"/>
      <w:bookmarkStart w:id="56" w:name="_Toc186431855"/>
      <w:r>
        <w:rPr>
          <w:rFonts w:hint="eastAsia" w:ascii="楷体" w:hAnsi="楷体" w:eastAsia="楷体" w:cs="宋体"/>
          <w:color w:val="auto"/>
        </w:rPr>
        <w:t>。</w:t>
      </w:r>
    </w:p>
    <w:bookmarkEnd w:id="51"/>
    <w:bookmarkEnd w:id="52"/>
    <w:bookmarkEnd w:id="53"/>
    <w:bookmarkEnd w:id="54"/>
    <w:bookmarkEnd w:id="55"/>
    <w:bookmarkEnd w:id="56"/>
    <w:p w14:paraId="367E1DA1">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57" w:name="_Ref467379863"/>
      <w:bookmarkStart w:id="58" w:name="_Toc487900358"/>
      <w:bookmarkStart w:id="59" w:name="_Toc279701248"/>
      <w:bookmarkStart w:id="60" w:name="_Toc259093677"/>
      <w:bookmarkStart w:id="61" w:name="_Ref467379923"/>
      <w:bookmarkStart w:id="62" w:name="_Ref467379852"/>
      <w:bookmarkStart w:id="63" w:name="_Toc13467"/>
      <w:bookmarkStart w:id="64" w:name="_Toc13154"/>
      <w:bookmarkStart w:id="65" w:name="_Toc18990"/>
      <w:bookmarkStart w:id="66" w:name="_Toc16163"/>
      <w:bookmarkStart w:id="67" w:name="_Toc30507"/>
      <w:r>
        <w:rPr>
          <w:rFonts w:hint="eastAsia" w:ascii="楷体" w:hAnsi="楷体" w:eastAsia="楷体" w:cs="宋体"/>
          <w:b/>
          <w:color w:val="auto"/>
        </w:rPr>
        <w:t>2.5 技术资料</w:t>
      </w:r>
      <w:bookmarkEnd w:id="57"/>
      <w:bookmarkEnd w:id="58"/>
      <w:bookmarkEnd w:id="59"/>
      <w:bookmarkEnd w:id="60"/>
      <w:bookmarkEnd w:id="61"/>
      <w:bookmarkEnd w:id="62"/>
      <w:r>
        <w:rPr>
          <w:rFonts w:hint="eastAsia" w:ascii="楷体" w:hAnsi="楷体" w:eastAsia="楷体" w:cs="宋体"/>
          <w:b/>
          <w:color w:val="auto"/>
        </w:rPr>
        <w:t>和保密义务</w:t>
      </w:r>
      <w:bookmarkEnd w:id="63"/>
      <w:bookmarkEnd w:id="64"/>
      <w:bookmarkEnd w:id="65"/>
      <w:bookmarkEnd w:id="66"/>
      <w:bookmarkEnd w:id="67"/>
    </w:p>
    <w:p w14:paraId="0E4BFBB5">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2.5.1 乙方有权依据合同约定和项目需要，向甲方了解有关情况，调阅有关资料等，甲方应予积极配合；</w:t>
      </w:r>
    </w:p>
    <w:p w14:paraId="2E76158A">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2.5.2 乙方有义务妥善保管和保护由甲方提供的前款信息和资料等；</w:t>
      </w:r>
    </w:p>
    <w:p w14:paraId="68A6CEF6">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6D298FE">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68" w:name="_Toc19069"/>
      <w:bookmarkStart w:id="69" w:name="_Toc259093681"/>
      <w:bookmarkStart w:id="70" w:name="_Toc279701252"/>
      <w:bookmarkStart w:id="71" w:name="_Toc487900362"/>
      <w:r>
        <w:rPr>
          <w:rFonts w:hint="eastAsia" w:ascii="楷体" w:hAnsi="楷体" w:eastAsia="楷体" w:cs="宋体"/>
          <w:b/>
          <w:color w:val="auto"/>
        </w:rPr>
        <w:t>2.6 质量保证</w:t>
      </w:r>
      <w:bookmarkEnd w:id="68"/>
    </w:p>
    <w:p w14:paraId="66E8B0AA">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2.6.1 乙方应建立和完善履行合同的内部质量保证体系，并提供相关内部规章制度给甲方，以便甲方进行监督检查；</w:t>
      </w:r>
    </w:p>
    <w:p w14:paraId="4B751D4B">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2.6.2 乙方应保证履行合同的人员数量和素质、软件和硬件设备的配置、场地、环境和设施等满足全面履行合同的要求，并应接受甲方的监督检查。</w:t>
      </w:r>
    </w:p>
    <w:p w14:paraId="4611EE00">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72" w:name="_Toc22267"/>
      <w:r>
        <w:rPr>
          <w:rFonts w:hint="eastAsia" w:ascii="楷体" w:hAnsi="楷体" w:eastAsia="楷体" w:cs="宋体"/>
          <w:b/>
          <w:color w:val="auto"/>
        </w:rPr>
        <w:t>2.7 延迟</w:t>
      </w:r>
      <w:bookmarkEnd w:id="69"/>
      <w:bookmarkEnd w:id="70"/>
      <w:bookmarkEnd w:id="71"/>
      <w:r>
        <w:rPr>
          <w:rFonts w:hint="eastAsia" w:ascii="楷体" w:hAnsi="楷体" w:eastAsia="楷体" w:cs="宋体"/>
          <w:b/>
          <w:color w:val="auto"/>
        </w:rPr>
        <w:t>履行</w:t>
      </w:r>
      <w:bookmarkEnd w:id="72"/>
    </w:p>
    <w:p w14:paraId="456B37A4">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00C250B">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73" w:name="_Toc10611"/>
      <w:bookmarkStart w:id="74" w:name="_Toc279701254"/>
      <w:bookmarkStart w:id="75" w:name="_Toc487900364"/>
      <w:bookmarkStart w:id="76" w:name="_Ref467378121"/>
      <w:bookmarkStart w:id="77" w:name="_Toc259093683"/>
      <w:r>
        <w:rPr>
          <w:rFonts w:hint="eastAsia" w:ascii="楷体" w:hAnsi="楷体" w:eastAsia="楷体" w:cs="宋体"/>
          <w:b/>
          <w:color w:val="auto"/>
        </w:rPr>
        <w:t>2.8 合同变更</w:t>
      </w:r>
      <w:bookmarkEnd w:id="73"/>
    </w:p>
    <w:p w14:paraId="0A2D2279">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2.8.1 双方当事人协商一致，可以签订书面补充合同的形式变更合同，但不得违背采购文件确定的事项，且如果系追加与合同标的相同的服务的，那么所有补充合同的采购金额不得超过原合同价的10%；</w:t>
      </w:r>
    </w:p>
    <w:p w14:paraId="5662BCBF">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2.8.2 合同继续履行将损害国家利益和社会公共利益的，双方当事人应当以书面形式变更合同。有过错的一方应当承担赔偿责任，双方当事人都有过错的，各自承担相应的责任。</w:t>
      </w:r>
      <w:bookmarkStart w:id="78" w:name="_Toc279701259"/>
      <w:bookmarkStart w:id="79" w:name="_Toc259093688"/>
      <w:bookmarkStart w:id="80" w:name="_Toc487900369"/>
    </w:p>
    <w:p w14:paraId="2192F50D">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81" w:name="_Toc21830"/>
      <w:bookmarkStart w:id="82" w:name="_Toc42"/>
      <w:bookmarkStart w:id="83" w:name="_Toc26689"/>
      <w:bookmarkStart w:id="84" w:name="_Toc10663"/>
      <w:bookmarkStart w:id="85" w:name="_Toc23368"/>
      <w:r>
        <w:rPr>
          <w:rFonts w:hint="eastAsia" w:ascii="楷体" w:hAnsi="楷体" w:eastAsia="楷体" w:cs="宋体"/>
          <w:b/>
          <w:color w:val="auto"/>
        </w:rPr>
        <w:t>2.9 合同转让</w:t>
      </w:r>
      <w:bookmarkEnd w:id="78"/>
      <w:bookmarkEnd w:id="79"/>
      <w:bookmarkEnd w:id="80"/>
      <w:r>
        <w:rPr>
          <w:rFonts w:hint="eastAsia" w:ascii="楷体" w:hAnsi="楷体" w:eastAsia="楷体" w:cs="宋体"/>
          <w:b/>
          <w:color w:val="auto"/>
        </w:rPr>
        <w:t>和分包</w:t>
      </w:r>
      <w:bookmarkEnd w:id="81"/>
      <w:bookmarkEnd w:id="82"/>
      <w:bookmarkEnd w:id="83"/>
      <w:bookmarkEnd w:id="84"/>
      <w:bookmarkEnd w:id="85"/>
    </w:p>
    <w:p w14:paraId="7A6D3EFA">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合同的权利义务依法不得转让，如</w:t>
      </w:r>
      <w:r>
        <w:rPr>
          <w:rFonts w:hint="eastAsia" w:ascii="楷体" w:hAnsi="楷体" w:eastAsia="楷体" w:cs="宋体"/>
          <w:color w:val="auto"/>
          <w:lang w:val="en-US" w:eastAsia="zh-CN"/>
        </w:rPr>
        <w:t>磋商</w:t>
      </w:r>
      <w:r>
        <w:rPr>
          <w:rFonts w:hint="eastAsia" w:ascii="楷体" w:hAnsi="楷体" w:eastAsia="楷体" w:cs="宋体"/>
          <w:color w:val="auto"/>
        </w:rPr>
        <w:t>文件中甲方接受中标后分包，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1C1E298">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86" w:name="_Toc4720"/>
      <w:bookmarkStart w:id="87" w:name="_Toc32494"/>
      <w:bookmarkStart w:id="88" w:name="_Toc26633"/>
      <w:bookmarkStart w:id="89" w:name="_Toc14371"/>
      <w:bookmarkStart w:id="90" w:name="_Toc25571"/>
      <w:r>
        <w:rPr>
          <w:rFonts w:hint="eastAsia" w:ascii="楷体" w:hAnsi="楷体" w:eastAsia="楷体" w:cs="宋体"/>
          <w:b/>
          <w:color w:val="auto"/>
        </w:rPr>
        <w:t>2.10 不可抗力</w:t>
      </w:r>
      <w:bookmarkEnd w:id="86"/>
      <w:bookmarkEnd w:id="87"/>
      <w:bookmarkEnd w:id="88"/>
      <w:bookmarkEnd w:id="89"/>
      <w:bookmarkEnd w:id="90"/>
    </w:p>
    <w:p w14:paraId="43569E80">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2.10.1如果任何一方遭遇法律规定的不可抗力，致使合同履行受阻时，履行合同的期限应予延长，延长的期限应相当于不可抗力所影响的时间；</w:t>
      </w:r>
    </w:p>
    <w:p w14:paraId="27950D03">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2.10.2 因不可抗力致使不能实现合同目的的，当事人可以解除合同；</w:t>
      </w:r>
    </w:p>
    <w:p w14:paraId="16900B85">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2.10.3 因不可抗力致使合同有变更必要的，双方当事人应在约定时间内以书面形式变更合同；</w:t>
      </w:r>
    </w:p>
    <w:p w14:paraId="0B1EAAF8">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bCs/>
          <w:color w:val="auto"/>
          <w:lang w:val="zh-CN"/>
        </w:rPr>
      </w:pPr>
      <w:r>
        <w:rPr>
          <w:rFonts w:hint="eastAsia" w:ascii="楷体" w:hAnsi="楷体" w:eastAsia="楷体" w:cs="宋体"/>
          <w:color w:val="auto"/>
        </w:rPr>
        <w:t xml:space="preserve">2.10.4 </w:t>
      </w:r>
      <w:r>
        <w:rPr>
          <w:rFonts w:hint="eastAsia" w:ascii="楷体" w:hAnsi="楷体" w:eastAsia="楷体"/>
          <w:bCs/>
          <w:color w:val="auto"/>
          <w:lang w:val="zh-CN"/>
        </w:rPr>
        <w:t>如遭遇不可抗力事件，遭遇不可抗力的一方应尽快以书面形式将不可抗力的情况和原因通知另一方，并</w:t>
      </w:r>
      <w:r>
        <w:rPr>
          <w:rFonts w:hint="eastAsia" w:ascii="楷体" w:hAnsi="楷体" w:eastAsia="楷体" w:cs="宋体"/>
          <w:color w:val="auto"/>
        </w:rPr>
        <w:t>将有关部门出具的证明文件送达对方当事人，</w:t>
      </w:r>
      <w:r>
        <w:rPr>
          <w:rFonts w:hint="eastAsia" w:ascii="楷体" w:hAnsi="楷体" w:eastAsia="楷体"/>
          <w:bCs/>
          <w:color w:val="auto"/>
          <w:lang w:val="zh-CN"/>
        </w:rPr>
        <w:t>积极采取措施防止损失扩大。因不可抗力造成的损失，甲乙双方按照法律规定处理；</w:t>
      </w:r>
    </w:p>
    <w:p w14:paraId="1FC29EFA">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2.10.5 “</w:t>
      </w:r>
      <w:r>
        <w:rPr>
          <w:rFonts w:hint="eastAsia" w:ascii="楷体" w:hAnsi="楷体" w:eastAsia="楷体"/>
          <w:bCs/>
          <w:color w:val="auto"/>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9B1B316">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91" w:name="_Toc23854"/>
      <w:bookmarkStart w:id="92" w:name="_Toc259093684"/>
      <w:bookmarkStart w:id="93" w:name="_Toc487900365"/>
      <w:bookmarkStart w:id="94" w:name="_Toc14115"/>
      <w:bookmarkStart w:id="95" w:name="_Toc279701255"/>
      <w:bookmarkStart w:id="96" w:name="_Toc24465"/>
      <w:bookmarkStart w:id="97" w:name="_Toc3638"/>
      <w:bookmarkStart w:id="98" w:name="_Toc25783"/>
      <w:r>
        <w:rPr>
          <w:rFonts w:hint="eastAsia" w:ascii="楷体" w:hAnsi="楷体" w:eastAsia="楷体" w:cs="宋体"/>
          <w:b/>
          <w:color w:val="auto"/>
        </w:rPr>
        <w:t>2.11 税费</w:t>
      </w:r>
      <w:bookmarkEnd w:id="91"/>
      <w:bookmarkEnd w:id="92"/>
      <w:bookmarkEnd w:id="93"/>
      <w:bookmarkEnd w:id="94"/>
      <w:bookmarkEnd w:id="95"/>
      <w:bookmarkEnd w:id="96"/>
      <w:bookmarkEnd w:id="97"/>
      <w:bookmarkEnd w:id="98"/>
    </w:p>
    <w:p w14:paraId="69362098">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与合同有关的一切税费，均按照中华人民共和国法律的相关规定缴纳。</w:t>
      </w:r>
    </w:p>
    <w:p w14:paraId="540D1544">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99" w:name="_Toc487900368"/>
      <w:bookmarkStart w:id="100" w:name="_Toc279701258"/>
      <w:bookmarkStart w:id="101" w:name="_Toc26883"/>
      <w:bookmarkStart w:id="102" w:name="_Toc259093687"/>
      <w:bookmarkStart w:id="103" w:name="_Toc30105"/>
      <w:bookmarkStart w:id="104" w:name="_Toc14814"/>
      <w:bookmarkStart w:id="105" w:name="_Toc25525"/>
      <w:bookmarkStart w:id="106" w:name="_Toc7315"/>
      <w:r>
        <w:rPr>
          <w:rFonts w:hint="eastAsia" w:ascii="楷体" w:hAnsi="楷体" w:eastAsia="楷体" w:cs="宋体"/>
          <w:b/>
          <w:color w:val="auto"/>
        </w:rPr>
        <w:t>2.12 乙方破产</w:t>
      </w:r>
      <w:bookmarkEnd w:id="99"/>
      <w:bookmarkEnd w:id="100"/>
      <w:bookmarkEnd w:id="101"/>
      <w:bookmarkEnd w:id="102"/>
      <w:bookmarkEnd w:id="103"/>
      <w:bookmarkEnd w:id="104"/>
      <w:bookmarkEnd w:id="105"/>
      <w:bookmarkEnd w:id="106"/>
    </w:p>
    <w:p w14:paraId="349A57B6">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418198A">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107" w:name="_Toc23323"/>
      <w:bookmarkStart w:id="108" w:name="_Toc2016"/>
      <w:bookmarkStart w:id="109" w:name="_Toc1123"/>
      <w:r>
        <w:rPr>
          <w:rFonts w:hint="eastAsia" w:ascii="楷体" w:hAnsi="楷体" w:eastAsia="楷体" w:cs="宋体"/>
          <w:b/>
          <w:color w:val="auto"/>
        </w:rPr>
        <w:t>2.13 合同中止、终止</w:t>
      </w:r>
      <w:bookmarkEnd w:id="107"/>
      <w:bookmarkEnd w:id="108"/>
      <w:bookmarkEnd w:id="109"/>
    </w:p>
    <w:p w14:paraId="6E6928A4">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2.13.1 双方当事人不得擅自中止或者终止合同；</w:t>
      </w:r>
    </w:p>
    <w:p w14:paraId="4FD34D69">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2.13.2合同继续履行将损害国家利益和社会公共利益的，双方当事人应当中止或者终止合同。有过错的一方应当承担赔偿责任，双方当事人都有过错的，各自承担相应的责任。</w:t>
      </w:r>
    </w:p>
    <w:p w14:paraId="012DCD4D">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110" w:name="_Toc14525"/>
      <w:bookmarkStart w:id="111" w:name="_Toc1969"/>
      <w:bookmarkStart w:id="112" w:name="_Toc17363"/>
      <w:r>
        <w:rPr>
          <w:rFonts w:hint="eastAsia" w:ascii="楷体" w:hAnsi="楷体" w:eastAsia="楷体" w:cs="宋体"/>
          <w:b/>
          <w:color w:val="auto"/>
        </w:rPr>
        <w:t>2.14 检验和验收</w:t>
      </w:r>
      <w:bookmarkEnd w:id="110"/>
      <w:bookmarkEnd w:id="111"/>
      <w:bookmarkEnd w:id="112"/>
    </w:p>
    <w:p w14:paraId="5C8A1FF0">
      <w:pPr>
        <w:keepNext w:val="0"/>
        <w:keepLines w:val="0"/>
        <w:pageBreakBefore w:val="0"/>
        <w:widowControl w:val="0"/>
        <w:tabs>
          <w:tab w:val="left" w:pos="360"/>
          <w:tab w:val="left" w:pos="540"/>
          <w:tab w:val="left" w:pos="1080"/>
        </w:tabs>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2.14.1 乙方按照约定，定期提交服务报告，甲方定期进行验收；</w:t>
      </w:r>
    </w:p>
    <w:p w14:paraId="12FAF536">
      <w:pPr>
        <w:keepNext w:val="0"/>
        <w:keepLines w:val="0"/>
        <w:pageBreakBefore w:val="0"/>
        <w:widowControl w:val="0"/>
        <w:tabs>
          <w:tab w:val="left" w:pos="360"/>
          <w:tab w:val="left" w:pos="540"/>
          <w:tab w:val="left" w:pos="1080"/>
        </w:tabs>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2.14.2 合同期满或者履行完毕后，甲方有权组织（包括依法邀请国家认可的质量检测机构参加）对乙方履约的验收，即：按照合同约定的标准，组织对乙方履约情况的验收，并出具政府采购项目验收单；向社会公众提供的公共服务项目，验收时应当邀请服务对象参与并出具意见，验收结果应当向社会公告；</w:t>
      </w:r>
    </w:p>
    <w:bookmarkEnd w:id="74"/>
    <w:bookmarkEnd w:id="75"/>
    <w:bookmarkEnd w:id="76"/>
    <w:bookmarkEnd w:id="77"/>
    <w:p w14:paraId="7D0B4962">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113" w:name="_Toc259093690"/>
      <w:bookmarkStart w:id="114" w:name="_Toc487900371"/>
      <w:bookmarkStart w:id="115" w:name="_Toc279701261"/>
      <w:bookmarkStart w:id="116" w:name="_Toc9808"/>
      <w:bookmarkStart w:id="117" w:name="_Toc25198"/>
      <w:bookmarkStart w:id="118" w:name="_Toc31892"/>
      <w:bookmarkStart w:id="119" w:name="_Toc2308"/>
      <w:bookmarkStart w:id="120" w:name="_Toc12666"/>
      <w:r>
        <w:rPr>
          <w:rFonts w:hint="eastAsia" w:ascii="楷体" w:hAnsi="楷体" w:eastAsia="楷体" w:cs="宋体"/>
          <w:b/>
          <w:color w:val="auto"/>
        </w:rPr>
        <w:t>2.15 通知</w:t>
      </w:r>
      <w:bookmarkEnd w:id="113"/>
      <w:bookmarkEnd w:id="114"/>
      <w:bookmarkEnd w:id="115"/>
      <w:r>
        <w:rPr>
          <w:rFonts w:hint="eastAsia" w:ascii="楷体" w:hAnsi="楷体" w:eastAsia="楷体" w:cs="宋体"/>
          <w:b/>
          <w:color w:val="auto"/>
        </w:rPr>
        <w:t>和送达</w:t>
      </w:r>
      <w:bookmarkEnd w:id="116"/>
      <w:bookmarkEnd w:id="117"/>
      <w:bookmarkEnd w:id="118"/>
      <w:bookmarkEnd w:id="119"/>
      <w:bookmarkEnd w:id="120"/>
    </w:p>
    <w:p w14:paraId="77C8FBA3">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bookmarkStart w:id="121" w:name="_Toc7073"/>
      <w:bookmarkStart w:id="122" w:name="_Toc29220"/>
      <w:bookmarkStart w:id="123" w:name="_Toc259093691"/>
      <w:bookmarkStart w:id="124" w:name="_Toc279701262"/>
      <w:bookmarkStart w:id="125" w:name="_Toc487900372"/>
      <w:r>
        <w:rPr>
          <w:rFonts w:hint="eastAsia" w:ascii="楷体" w:hAnsi="楷体" w:eastAsia="楷体" w:cs="宋体"/>
          <w:color w:val="auto"/>
        </w:rPr>
        <w:t>2.15.1 任何一方因履行合同而以合同第一部分尾部所列明的</w:t>
      </w:r>
      <w:r>
        <w:rPr>
          <w:rFonts w:hint="eastAsia" w:ascii="楷体" w:hAnsi="楷体" w:eastAsia="楷体" w:cs="宋体"/>
          <w:color w:val="auto"/>
          <w:u w:val="single"/>
        </w:rPr>
        <w:t xml:space="preserve">  联系方式 </w:t>
      </w:r>
      <w:r>
        <w:rPr>
          <w:rFonts w:hint="eastAsia" w:ascii="楷体" w:hAnsi="楷体" w:eastAsia="楷体" w:cs="宋体"/>
          <w:color w:val="auto"/>
        </w:rPr>
        <w:t>发出的所有通知、文件、材料，均视为已向对方当事人送达；任何一方变更上述送达方式或者地址的，应于</w:t>
      </w:r>
      <w:r>
        <w:rPr>
          <w:rFonts w:hint="eastAsia" w:ascii="楷体" w:hAnsi="楷体" w:eastAsia="楷体" w:cs="宋体"/>
          <w:color w:val="auto"/>
          <w:u w:val="single"/>
        </w:rPr>
        <w:t xml:space="preserve"> 3</w:t>
      </w:r>
      <w:r>
        <w:rPr>
          <w:rFonts w:hint="eastAsia" w:ascii="楷体" w:hAnsi="楷体" w:eastAsia="楷体" w:cs="宋体"/>
          <w:color w:val="auto"/>
        </w:rPr>
        <w:t>个工作日内书面通知对方当事人，在对方当事人收到有关变更通知之前，变更前的约定送达方式或者地址仍视为有效。</w:t>
      </w:r>
      <w:bookmarkEnd w:id="121"/>
      <w:bookmarkEnd w:id="122"/>
    </w:p>
    <w:p w14:paraId="216F3F21">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bookmarkStart w:id="126" w:name="_Toc18401"/>
      <w:bookmarkStart w:id="127" w:name="_Toc27674"/>
      <w:r>
        <w:rPr>
          <w:rFonts w:hint="eastAsia" w:ascii="楷体" w:hAnsi="楷体" w:eastAsia="楷体" w:cs="宋体"/>
          <w:color w:val="auto"/>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126"/>
      <w:bookmarkEnd w:id="127"/>
    </w:p>
    <w:bookmarkEnd w:id="123"/>
    <w:bookmarkEnd w:id="124"/>
    <w:bookmarkEnd w:id="125"/>
    <w:p w14:paraId="398F78EA">
      <w:pPr>
        <w:keepNext w:val="0"/>
        <w:keepLines w:val="0"/>
        <w:pageBreakBefore w:val="0"/>
        <w:widowControl w:val="0"/>
        <w:kinsoku/>
        <w:wordWrap/>
        <w:overflowPunct/>
        <w:topLinePunct w:val="0"/>
        <w:bidi w:val="0"/>
        <w:snapToGrid/>
        <w:spacing w:line="360" w:lineRule="auto"/>
        <w:ind w:firstLine="422" w:firstLineChars="200"/>
        <w:textAlignment w:val="auto"/>
        <w:rPr>
          <w:rFonts w:ascii="楷体" w:hAnsi="楷体" w:eastAsia="楷体" w:cs="宋体"/>
          <w:b/>
          <w:color w:val="auto"/>
        </w:rPr>
      </w:pPr>
      <w:bookmarkStart w:id="128" w:name="_Toc259093692"/>
      <w:bookmarkStart w:id="129" w:name="_Toc27644"/>
      <w:bookmarkStart w:id="130" w:name="_Toc487900373"/>
      <w:bookmarkStart w:id="131" w:name="_Toc20808"/>
      <w:bookmarkStart w:id="132" w:name="_Toc279701263"/>
      <w:bookmarkStart w:id="133" w:name="_Toc12254"/>
      <w:bookmarkStart w:id="134" w:name="_Toc5063"/>
      <w:bookmarkStart w:id="135" w:name="_Toc28906"/>
      <w:r>
        <w:rPr>
          <w:rFonts w:hint="eastAsia" w:ascii="楷体" w:hAnsi="楷体" w:eastAsia="楷体" w:cs="宋体"/>
          <w:b/>
          <w:color w:val="auto"/>
        </w:rPr>
        <w:t>2.16 合同使用的文字和适用的法律</w:t>
      </w:r>
      <w:bookmarkEnd w:id="128"/>
      <w:bookmarkEnd w:id="129"/>
      <w:bookmarkEnd w:id="130"/>
      <w:bookmarkEnd w:id="131"/>
      <w:bookmarkEnd w:id="132"/>
      <w:bookmarkEnd w:id="133"/>
      <w:bookmarkEnd w:id="134"/>
      <w:bookmarkEnd w:id="135"/>
    </w:p>
    <w:p w14:paraId="01C7AF83">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2.16.1 合同使用汉语书就、变更和解释；</w:t>
      </w:r>
    </w:p>
    <w:p w14:paraId="63FF326B">
      <w:pPr>
        <w:keepNext w:val="0"/>
        <w:keepLines w:val="0"/>
        <w:pageBreakBefore w:val="0"/>
        <w:widowControl w:val="0"/>
        <w:kinsoku/>
        <w:wordWrap/>
        <w:overflowPunct/>
        <w:topLinePunct w:val="0"/>
        <w:bidi w:val="0"/>
        <w:snapToGrid/>
        <w:spacing w:line="360" w:lineRule="auto"/>
        <w:ind w:firstLine="420" w:firstLineChars="200"/>
        <w:textAlignment w:val="auto"/>
        <w:rPr>
          <w:rFonts w:ascii="楷体" w:hAnsi="楷体" w:eastAsia="楷体" w:cs="宋体"/>
          <w:color w:val="auto"/>
        </w:rPr>
      </w:pPr>
      <w:r>
        <w:rPr>
          <w:rFonts w:hint="eastAsia" w:ascii="楷体" w:hAnsi="楷体" w:eastAsia="楷体" w:cs="宋体"/>
          <w:color w:val="auto"/>
        </w:rPr>
        <w:t>2.16.2 合同适用中华人民共和国法律。</w:t>
      </w:r>
    </w:p>
    <w:p w14:paraId="46F7A479">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楷体" w:hAnsi="楷体" w:eastAsia="楷体" w:cs="宋体"/>
          <w:b/>
          <w:color w:val="auto"/>
        </w:rPr>
      </w:pPr>
      <w:bookmarkStart w:id="136" w:name="_Toc22266"/>
      <w:bookmarkStart w:id="137" w:name="_Toc1492"/>
      <w:bookmarkStart w:id="138" w:name="_Toc279701264"/>
      <w:bookmarkStart w:id="139" w:name="_Toc27127"/>
      <w:bookmarkStart w:id="140" w:name="_Toc27403"/>
      <w:bookmarkStart w:id="141" w:name="_Toc259093693"/>
      <w:bookmarkStart w:id="142" w:name="_Toc30096"/>
      <w:r>
        <w:rPr>
          <w:rFonts w:hint="eastAsia" w:ascii="楷体" w:hAnsi="楷体" w:eastAsia="楷体" w:cs="宋体"/>
          <w:b/>
          <w:color w:val="auto"/>
        </w:rPr>
        <w:t>2.17 履约保证金</w:t>
      </w:r>
      <w:bookmarkEnd w:id="136"/>
      <w:bookmarkEnd w:id="137"/>
      <w:bookmarkEnd w:id="138"/>
      <w:bookmarkEnd w:id="139"/>
      <w:bookmarkEnd w:id="140"/>
      <w:bookmarkEnd w:id="141"/>
      <w:bookmarkEnd w:id="142"/>
    </w:p>
    <w:p w14:paraId="5FA6D0D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highlight w:val="none"/>
        </w:rPr>
      </w:pPr>
      <w:r>
        <w:rPr>
          <w:rFonts w:hint="eastAsia" w:ascii="楷体" w:hAnsi="楷体" w:eastAsia="楷体" w:cs="宋体"/>
          <w:color w:val="auto"/>
        </w:rPr>
        <w:t>签订合同前乙方须向甲方缴纳人民币中标金额10%（现金、保函、保单等）履约保证金。</w:t>
      </w:r>
    </w:p>
    <w:p w14:paraId="15544DC1">
      <w:pPr>
        <w:spacing w:line="360" w:lineRule="auto"/>
        <w:ind w:firstLine="420" w:firstLineChars="200"/>
        <w:jc w:val="left"/>
        <w:rPr>
          <w:rFonts w:hint="eastAsia" w:ascii="宋体" w:hAnsi="宋体" w:eastAsia="宋体" w:cs="宋体"/>
          <w:color w:val="auto"/>
          <w:highlight w:val="none"/>
          <w:lang w:val="en-US" w:eastAsia="zh-CN"/>
        </w:rPr>
      </w:pPr>
    </w:p>
    <w:sectPr>
      <w:headerReference r:id="rId5" w:type="default"/>
      <w:footerReference r:id="rId6" w:type="default"/>
      <w:pgSz w:w="11906" w:h="16838"/>
      <w:pgMar w:top="1440" w:right="1803" w:bottom="1327"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05C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00A3D">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200A3D">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5D91">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C9637">
                          <w:pPr>
                            <w:pStyle w:val="15"/>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BC9637">
                    <w:pPr>
                      <w:pStyle w:val="15"/>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6AB70">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209E">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1AB666FD"/>
    <w:multiLevelType w:val="singleLevel"/>
    <w:tmpl w:val="1AB666FD"/>
    <w:lvl w:ilvl="0" w:tentative="0">
      <w:start w:val="1"/>
      <w:numFmt w:val="decimal"/>
      <w:lvlText w:val="%1."/>
      <w:lvlJc w:val="left"/>
      <w:pPr>
        <w:tabs>
          <w:tab w:val="left" w:pos="312"/>
        </w:tabs>
      </w:pPr>
    </w:lvl>
  </w:abstractNum>
  <w:abstractNum w:abstractNumId="3">
    <w:nsid w:val="1B640FFF"/>
    <w:multiLevelType w:val="multilevel"/>
    <w:tmpl w:val="1B640FFF"/>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429A5043"/>
    <w:multiLevelType w:val="multilevel"/>
    <w:tmpl w:val="429A5043"/>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43781666"/>
    <w:multiLevelType w:val="multilevel"/>
    <w:tmpl w:val="43781666"/>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6C8460E9"/>
    <w:multiLevelType w:val="multilevel"/>
    <w:tmpl w:val="6C8460E9"/>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707B662D"/>
    <w:multiLevelType w:val="multilevel"/>
    <w:tmpl w:val="707B662D"/>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70CB75E4"/>
    <w:multiLevelType w:val="multilevel"/>
    <w:tmpl w:val="70CB75E4"/>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7CEE1025"/>
    <w:multiLevelType w:val="multilevel"/>
    <w:tmpl w:val="7CEE1025"/>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8"/>
    <w:lvlOverride w:ilvl="0">
      <w:startOverride w:val="1"/>
    </w:lvlOverride>
  </w:num>
  <w:num w:numId="4">
    <w:abstractNumId w:val="4"/>
    <w:lvlOverride w:ilvl="0">
      <w:startOverride w:val="1"/>
    </w:lvlOverride>
  </w:num>
  <w:num w:numId="5">
    <w:abstractNumId w:val="3"/>
  </w:num>
  <w:num w:numId="6">
    <w:abstractNumId w:val="5"/>
    <w:lvlOverride w:ilvl="0">
      <w:startOverride w:val="1"/>
    </w:lvlOverride>
  </w:num>
  <w:num w:numId="7">
    <w:abstractNumId w:val="7"/>
    <w:lvlOverride w:ilvl="0">
      <w:startOverride w:val="1"/>
    </w:lvlOverride>
  </w:num>
  <w:num w:numId="8">
    <w:abstractNumId w:val="9"/>
  </w:num>
  <w:num w:numId="9">
    <w:abstractNumId w:val="6"/>
    <w:lvlOverride w:ilvl="0">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OWFlYWU4M2E0MTViN2Q1YmQ5MjExYTBjNTY4MjcifQ=="/>
    <w:docVar w:name="KSO_WPS_MARK_KEY" w:val="28a255d6-ac4c-49c0-bffb-d8d1bb0a0b98"/>
  </w:docVars>
  <w:rsids>
    <w:rsidRoot w:val="0057127B"/>
    <w:rsid w:val="000407A3"/>
    <w:rsid w:val="0013104D"/>
    <w:rsid w:val="0021282D"/>
    <w:rsid w:val="00250929"/>
    <w:rsid w:val="0031102E"/>
    <w:rsid w:val="0057127B"/>
    <w:rsid w:val="007376E3"/>
    <w:rsid w:val="00744D0E"/>
    <w:rsid w:val="00926936"/>
    <w:rsid w:val="00954D26"/>
    <w:rsid w:val="00A44604"/>
    <w:rsid w:val="00C46203"/>
    <w:rsid w:val="00E3660A"/>
    <w:rsid w:val="00E51CA8"/>
    <w:rsid w:val="00F65478"/>
    <w:rsid w:val="0102534B"/>
    <w:rsid w:val="011B6048"/>
    <w:rsid w:val="018A2D98"/>
    <w:rsid w:val="02DA750A"/>
    <w:rsid w:val="02F77434"/>
    <w:rsid w:val="03244C69"/>
    <w:rsid w:val="03773C2D"/>
    <w:rsid w:val="043A125E"/>
    <w:rsid w:val="052B6E5B"/>
    <w:rsid w:val="05680BEE"/>
    <w:rsid w:val="05852AA4"/>
    <w:rsid w:val="05F206D9"/>
    <w:rsid w:val="06226A06"/>
    <w:rsid w:val="06E40C78"/>
    <w:rsid w:val="06E86679"/>
    <w:rsid w:val="07AF43D8"/>
    <w:rsid w:val="07E04497"/>
    <w:rsid w:val="07F50960"/>
    <w:rsid w:val="08545F1D"/>
    <w:rsid w:val="088F37C7"/>
    <w:rsid w:val="08EC7ABA"/>
    <w:rsid w:val="09B5777D"/>
    <w:rsid w:val="0A301518"/>
    <w:rsid w:val="0A4F4554"/>
    <w:rsid w:val="0A9154F3"/>
    <w:rsid w:val="0AFA4ADF"/>
    <w:rsid w:val="0B127087"/>
    <w:rsid w:val="0BC03B71"/>
    <w:rsid w:val="0BCB68A3"/>
    <w:rsid w:val="0C000C64"/>
    <w:rsid w:val="0C255F52"/>
    <w:rsid w:val="0CD520F0"/>
    <w:rsid w:val="0D2070E4"/>
    <w:rsid w:val="0D4B5E5E"/>
    <w:rsid w:val="0E201CFF"/>
    <w:rsid w:val="0E9C502F"/>
    <w:rsid w:val="0EE93B91"/>
    <w:rsid w:val="0F4D2EA3"/>
    <w:rsid w:val="0F744C35"/>
    <w:rsid w:val="0F7D6A6F"/>
    <w:rsid w:val="0FA91612"/>
    <w:rsid w:val="100B3754"/>
    <w:rsid w:val="108F25B6"/>
    <w:rsid w:val="10F845FF"/>
    <w:rsid w:val="11327818"/>
    <w:rsid w:val="11BB42AC"/>
    <w:rsid w:val="11F03528"/>
    <w:rsid w:val="12A316F2"/>
    <w:rsid w:val="12AD5287"/>
    <w:rsid w:val="12D5127D"/>
    <w:rsid w:val="13185BA6"/>
    <w:rsid w:val="13D242F2"/>
    <w:rsid w:val="153864D8"/>
    <w:rsid w:val="15D62345"/>
    <w:rsid w:val="163C4F8E"/>
    <w:rsid w:val="16777D74"/>
    <w:rsid w:val="169852E1"/>
    <w:rsid w:val="16F57425"/>
    <w:rsid w:val="18CE65B0"/>
    <w:rsid w:val="19F45363"/>
    <w:rsid w:val="1AB41255"/>
    <w:rsid w:val="1AF51BB0"/>
    <w:rsid w:val="1B5E55A8"/>
    <w:rsid w:val="1C24313B"/>
    <w:rsid w:val="1C511699"/>
    <w:rsid w:val="1C8F6CBD"/>
    <w:rsid w:val="1CE37622"/>
    <w:rsid w:val="1D24052A"/>
    <w:rsid w:val="1D344C11"/>
    <w:rsid w:val="1D602818"/>
    <w:rsid w:val="1D9B44A3"/>
    <w:rsid w:val="1DCA10D2"/>
    <w:rsid w:val="1DE55FB8"/>
    <w:rsid w:val="1E124827"/>
    <w:rsid w:val="1EFF1D16"/>
    <w:rsid w:val="1F4849A4"/>
    <w:rsid w:val="1FF561F6"/>
    <w:rsid w:val="20386BB8"/>
    <w:rsid w:val="20480747"/>
    <w:rsid w:val="20BE38C9"/>
    <w:rsid w:val="20C57EF8"/>
    <w:rsid w:val="22391C9E"/>
    <w:rsid w:val="2310030F"/>
    <w:rsid w:val="238D06EB"/>
    <w:rsid w:val="239E003C"/>
    <w:rsid w:val="23C70504"/>
    <w:rsid w:val="25545634"/>
    <w:rsid w:val="25560DD8"/>
    <w:rsid w:val="257E3356"/>
    <w:rsid w:val="272730F1"/>
    <w:rsid w:val="272C3562"/>
    <w:rsid w:val="27542AC7"/>
    <w:rsid w:val="27806CA5"/>
    <w:rsid w:val="27882224"/>
    <w:rsid w:val="28BE5C95"/>
    <w:rsid w:val="29053906"/>
    <w:rsid w:val="29233D8C"/>
    <w:rsid w:val="2A492B17"/>
    <w:rsid w:val="2A573275"/>
    <w:rsid w:val="2B162169"/>
    <w:rsid w:val="2B754E70"/>
    <w:rsid w:val="2CB505CF"/>
    <w:rsid w:val="2CEB3B75"/>
    <w:rsid w:val="2CF71A94"/>
    <w:rsid w:val="2D1C7470"/>
    <w:rsid w:val="2D35408E"/>
    <w:rsid w:val="2DB70EB7"/>
    <w:rsid w:val="2EB536D8"/>
    <w:rsid w:val="2EDF5746"/>
    <w:rsid w:val="2F484601"/>
    <w:rsid w:val="2F882B9B"/>
    <w:rsid w:val="2FE204FD"/>
    <w:rsid w:val="310E5F3F"/>
    <w:rsid w:val="31480833"/>
    <w:rsid w:val="314B6E77"/>
    <w:rsid w:val="31596C31"/>
    <w:rsid w:val="319D5437"/>
    <w:rsid w:val="33604C72"/>
    <w:rsid w:val="340016D5"/>
    <w:rsid w:val="340A6274"/>
    <w:rsid w:val="34A642E1"/>
    <w:rsid w:val="35004F81"/>
    <w:rsid w:val="3600792F"/>
    <w:rsid w:val="366B59FA"/>
    <w:rsid w:val="369736C3"/>
    <w:rsid w:val="36BC5048"/>
    <w:rsid w:val="36F53CB7"/>
    <w:rsid w:val="37940B89"/>
    <w:rsid w:val="37945061"/>
    <w:rsid w:val="379A74B9"/>
    <w:rsid w:val="37EF1A35"/>
    <w:rsid w:val="39402CF3"/>
    <w:rsid w:val="3A8F29DB"/>
    <w:rsid w:val="3AD140B2"/>
    <w:rsid w:val="3AD67F8A"/>
    <w:rsid w:val="3B822B94"/>
    <w:rsid w:val="3BCC7646"/>
    <w:rsid w:val="3C0B390A"/>
    <w:rsid w:val="3C911F25"/>
    <w:rsid w:val="3D1E4B3E"/>
    <w:rsid w:val="3E1E3150"/>
    <w:rsid w:val="3E384444"/>
    <w:rsid w:val="3E5A1BA6"/>
    <w:rsid w:val="3E5D1061"/>
    <w:rsid w:val="3EC145AE"/>
    <w:rsid w:val="3EE50648"/>
    <w:rsid w:val="401819D8"/>
    <w:rsid w:val="40BD50B2"/>
    <w:rsid w:val="40D92C20"/>
    <w:rsid w:val="40DE261A"/>
    <w:rsid w:val="41B50A68"/>
    <w:rsid w:val="423E37F0"/>
    <w:rsid w:val="424566C9"/>
    <w:rsid w:val="43B645C4"/>
    <w:rsid w:val="4456696C"/>
    <w:rsid w:val="44876B0D"/>
    <w:rsid w:val="45A656D1"/>
    <w:rsid w:val="461B3AA5"/>
    <w:rsid w:val="466A2B7D"/>
    <w:rsid w:val="472E3BD0"/>
    <w:rsid w:val="47424CEF"/>
    <w:rsid w:val="479B2895"/>
    <w:rsid w:val="479D0CEB"/>
    <w:rsid w:val="47B21FD0"/>
    <w:rsid w:val="482B7781"/>
    <w:rsid w:val="49125EA8"/>
    <w:rsid w:val="491308F7"/>
    <w:rsid w:val="49690EEF"/>
    <w:rsid w:val="49E808BB"/>
    <w:rsid w:val="4ABE526B"/>
    <w:rsid w:val="4B9761E7"/>
    <w:rsid w:val="4BF81822"/>
    <w:rsid w:val="4C3B501F"/>
    <w:rsid w:val="4C5013F2"/>
    <w:rsid w:val="4CB30DFF"/>
    <w:rsid w:val="4CEB68DD"/>
    <w:rsid w:val="4DC46900"/>
    <w:rsid w:val="4EB03ABC"/>
    <w:rsid w:val="4FE71B60"/>
    <w:rsid w:val="502344EE"/>
    <w:rsid w:val="503F3946"/>
    <w:rsid w:val="515B6D50"/>
    <w:rsid w:val="51F41C9B"/>
    <w:rsid w:val="520F39C4"/>
    <w:rsid w:val="53047E13"/>
    <w:rsid w:val="537B0009"/>
    <w:rsid w:val="538F3C48"/>
    <w:rsid w:val="53D8114B"/>
    <w:rsid w:val="53E2021C"/>
    <w:rsid w:val="55320D2F"/>
    <w:rsid w:val="55797D86"/>
    <w:rsid w:val="560346EE"/>
    <w:rsid w:val="56E65DAC"/>
    <w:rsid w:val="56EB73E7"/>
    <w:rsid w:val="56F04D37"/>
    <w:rsid w:val="571C3A45"/>
    <w:rsid w:val="57C33332"/>
    <w:rsid w:val="58120662"/>
    <w:rsid w:val="58324CA0"/>
    <w:rsid w:val="594218B0"/>
    <w:rsid w:val="597436C4"/>
    <w:rsid w:val="598651A9"/>
    <w:rsid w:val="59A85A64"/>
    <w:rsid w:val="59CF0CAD"/>
    <w:rsid w:val="59D16D68"/>
    <w:rsid w:val="5A766AF8"/>
    <w:rsid w:val="5B4F3D96"/>
    <w:rsid w:val="5BEB6C83"/>
    <w:rsid w:val="5C4714E9"/>
    <w:rsid w:val="5C5A78B4"/>
    <w:rsid w:val="5CFC702B"/>
    <w:rsid w:val="5D583521"/>
    <w:rsid w:val="5F0A4D77"/>
    <w:rsid w:val="5F6839A3"/>
    <w:rsid w:val="5F6F5187"/>
    <w:rsid w:val="60105B64"/>
    <w:rsid w:val="60261490"/>
    <w:rsid w:val="607246D5"/>
    <w:rsid w:val="617677EF"/>
    <w:rsid w:val="617C3A5E"/>
    <w:rsid w:val="61DB24C8"/>
    <w:rsid w:val="63620F5A"/>
    <w:rsid w:val="636841B6"/>
    <w:rsid w:val="637534B0"/>
    <w:rsid w:val="642D7DF9"/>
    <w:rsid w:val="645A6E6C"/>
    <w:rsid w:val="64754794"/>
    <w:rsid w:val="6477139D"/>
    <w:rsid w:val="64B41760"/>
    <w:rsid w:val="6529347D"/>
    <w:rsid w:val="659C3AAC"/>
    <w:rsid w:val="65B243BC"/>
    <w:rsid w:val="65C01B4B"/>
    <w:rsid w:val="675B4F13"/>
    <w:rsid w:val="67B74959"/>
    <w:rsid w:val="680D18B3"/>
    <w:rsid w:val="683B27F5"/>
    <w:rsid w:val="684B728D"/>
    <w:rsid w:val="68753642"/>
    <w:rsid w:val="68B1523C"/>
    <w:rsid w:val="68E136C0"/>
    <w:rsid w:val="6949564E"/>
    <w:rsid w:val="694A3770"/>
    <w:rsid w:val="6AEB57B0"/>
    <w:rsid w:val="6B470B0F"/>
    <w:rsid w:val="6B8F25DF"/>
    <w:rsid w:val="6BA918F3"/>
    <w:rsid w:val="6BBF6778"/>
    <w:rsid w:val="6C427CC2"/>
    <w:rsid w:val="6C692E30"/>
    <w:rsid w:val="6CFC6731"/>
    <w:rsid w:val="6D1159A2"/>
    <w:rsid w:val="6D5E332C"/>
    <w:rsid w:val="6D9E58C6"/>
    <w:rsid w:val="6DF663E9"/>
    <w:rsid w:val="6E743803"/>
    <w:rsid w:val="6F08269A"/>
    <w:rsid w:val="6F7D6BD9"/>
    <w:rsid w:val="701155A3"/>
    <w:rsid w:val="708A3169"/>
    <w:rsid w:val="70B76860"/>
    <w:rsid w:val="70EF1956"/>
    <w:rsid w:val="711C66C3"/>
    <w:rsid w:val="71EC43A2"/>
    <w:rsid w:val="725E7B50"/>
    <w:rsid w:val="72872262"/>
    <w:rsid w:val="72CF7A0C"/>
    <w:rsid w:val="735937A8"/>
    <w:rsid w:val="737361D7"/>
    <w:rsid w:val="73857DCD"/>
    <w:rsid w:val="73E6032E"/>
    <w:rsid w:val="73EB7AB0"/>
    <w:rsid w:val="73FC73C3"/>
    <w:rsid w:val="740F2288"/>
    <w:rsid w:val="74B613F4"/>
    <w:rsid w:val="74D80E1A"/>
    <w:rsid w:val="74E2513B"/>
    <w:rsid w:val="74EE65C9"/>
    <w:rsid w:val="74FE2662"/>
    <w:rsid w:val="75287D2D"/>
    <w:rsid w:val="7572460C"/>
    <w:rsid w:val="75D76698"/>
    <w:rsid w:val="765A0CBD"/>
    <w:rsid w:val="768F6393"/>
    <w:rsid w:val="776D7EB0"/>
    <w:rsid w:val="77C33D3D"/>
    <w:rsid w:val="77DC4DFE"/>
    <w:rsid w:val="788640F0"/>
    <w:rsid w:val="78CD5E0D"/>
    <w:rsid w:val="78D42F91"/>
    <w:rsid w:val="78E247CA"/>
    <w:rsid w:val="794A5A1C"/>
    <w:rsid w:val="79F301DD"/>
    <w:rsid w:val="7A12570B"/>
    <w:rsid w:val="7A650123"/>
    <w:rsid w:val="7B6618B7"/>
    <w:rsid w:val="7B7C2705"/>
    <w:rsid w:val="7C523992"/>
    <w:rsid w:val="7D6D0510"/>
    <w:rsid w:val="7D8424BF"/>
    <w:rsid w:val="7E484F9C"/>
    <w:rsid w:val="7E963245"/>
    <w:rsid w:val="7ED50FA3"/>
    <w:rsid w:val="7EE301BA"/>
    <w:rsid w:val="7F3231BE"/>
    <w:rsid w:val="7F7E49ED"/>
    <w:rsid w:val="7FCB5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next w:val="1"/>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styleId="3">
    <w:name w:val="heading 4"/>
    <w:basedOn w:val="1"/>
    <w:next w:val="1"/>
    <w:qFormat/>
    <w:uiPriority w:val="0"/>
    <w:pPr>
      <w:keepNext/>
      <w:keepLines/>
      <w:spacing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cs="宋体"/>
      <w:kern w:val="0"/>
      <w:sz w:val="24"/>
      <w:szCs w:val="24"/>
    </w:rPr>
  </w:style>
  <w:style w:type="paragraph" w:styleId="5">
    <w:name w:val="toa heading"/>
    <w:basedOn w:val="1"/>
    <w:next w:val="1"/>
    <w:qFormat/>
    <w:uiPriority w:val="0"/>
    <w:pPr>
      <w:spacing w:before="120"/>
    </w:pPr>
    <w:rPr>
      <w:rFonts w:ascii="Arial" w:hAnsi="Arial"/>
      <w:sz w:val="24"/>
      <w:szCs w:val="20"/>
    </w:rPr>
  </w:style>
  <w:style w:type="paragraph" w:styleId="6">
    <w:name w:val="Body Text"/>
    <w:basedOn w:val="1"/>
    <w:next w:val="7"/>
    <w:link w:val="26"/>
    <w:qFormat/>
    <w:uiPriority w:val="99"/>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
    <w:name w:val="段"/>
    <w:next w:val="10"/>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0">
    <w:name w:val="正文 A"/>
    <w:next w:val="9"/>
    <w:qFormat/>
    <w:uiPriority w:val="0"/>
    <w:pPr>
      <w:widowControl w:val="0"/>
      <w:jc w:val="both"/>
    </w:pPr>
    <w:rPr>
      <w:rFonts w:ascii="Calibri" w:hAnsi="Calibri" w:eastAsia="Calibri" w:cs="Calibri"/>
      <w:color w:val="000000"/>
      <w:kern w:val="2"/>
      <w:sz w:val="21"/>
      <w:szCs w:val="21"/>
      <w:lang w:val="en-US" w:eastAsia="zh-CN" w:bidi="ar-SA"/>
    </w:rPr>
  </w:style>
  <w:style w:type="paragraph" w:styleId="11">
    <w:name w:val="Body Text Indent"/>
    <w:basedOn w:val="1"/>
    <w:qFormat/>
    <w:uiPriority w:val="0"/>
    <w:pPr>
      <w:spacing w:line="200" w:lineRule="exact"/>
      <w:ind w:firstLine="301"/>
    </w:pPr>
    <w:rPr>
      <w:rFonts w:ascii="宋体" w:hAnsi="Courier New"/>
      <w:spacing w:val="-4"/>
      <w:sz w:val="18"/>
      <w:szCs w:val="20"/>
    </w:rPr>
  </w:style>
  <w:style w:type="paragraph" w:styleId="12">
    <w:name w:val="Block Text"/>
    <w:basedOn w:val="1"/>
    <w:qFormat/>
    <w:uiPriority w:val="99"/>
    <w:pPr>
      <w:spacing w:after="120"/>
      <w:ind w:left="1440" w:leftChars="700" w:right="1440" w:rightChars="700"/>
    </w:pPr>
  </w:style>
  <w:style w:type="paragraph" w:styleId="13">
    <w:name w:val="Plain Text"/>
    <w:basedOn w:val="1"/>
    <w:qFormat/>
    <w:uiPriority w:val="0"/>
    <w:rPr>
      <w:rFonts w:ascii="宋体" w:hAnsi="Courier New"/>
    </w:rPr>
  </w:style>
  <w:style w:type="paragraph" w:styleId="14">
    <w:name w:val="Body Text Indent 2"/>
    <w:basedOn w:val="1"/>
    <w:qFormat/>
    <w:uiPriority w:val="0"/>
    <w:pPr>
      <w:ind w:firstLine="480" w:firstLineChars="200"/>
    </w:pPr>
    <w:rPr>
      <w:rFonts w:ascii="仿宋_GB2312" w:eastAsia="仿宋_GB2312"/>
      <w:sz w:val="24"/>
    </w:rPr>
  </w:style>
  <w:style w:type="paragraph" w:styleId="15">
    <w:name w:val="footer"/>
    <w:basedOn w:val="1"/>
    <w:link w:val="27"/>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8">
    <w:name w:val="List Continue 2"/>
    <w:qFormat/>
    <w:uiPriority w:val="0"/>
    <w:pPr>
      <w:widowControl w:val="0"/>
      <w:spacing w:after="120"/>
      <w:ind w:left="840" w:leftChars="400"/>
      <w:jc w:val="both"/>
    </w:pPr>
    <w:rPr>
      <w:rFonts w:ascii="Times New Roman" w:hAnsi="Times New Roman" w:eastAsia="宋体" w:cs="Times New Roman"/>
      <w:sz w:val="24"/>
      <w:lang w:val="en-US" w:eastAsia="zh-CN" w:bidi="ar-SA"/>
    </w:rPr>
  </w:style>
  <w:style w:type="paragraph" w:styleId="19">
    <w:name w:val="Body Text First Indent 2"/>
    <w:basedOn w:val="11"/>
    <w:qFormat/>
    <w:uiPriority w:val="0"/>
    <w:pPr>
      <w:spacing w:line="360" w:lineRule="auto"/>
      <w:ind w:firstLine="420" w:firstLineChars="200"/>
    </w:pPr>
    <w:rPr>
      <w:rFonts w:hAnsi="宋体"/>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character" w:styleId="24">
    <w:name w:val="Hyperlink"/>
    <w:basedOn w:val="22"/>
    <w:qFormat/>
    <w:uiPriority w:val="99"/>
    <w:rPr>
      <w:color w:val="0000FF"/>
      <w:u w:val="single"/>
    </w:rPr>
  </w:style>
  <w:style w:type="paragraph" w:customStyle="1" w:styleId="25">
    <w:name w:val="Default"/>
    <w:qFormat/>
    <w:uiPriority w:val="99"/>
    <w:pPr>
      <w:widowControl w:val="0"/>
      <w:autoSpaceDE w:val="0"/>
      <w:autoSpaceDN w:val="0"/>
      <w:adjustRightInd w:val="0"/>
    </w:pPr>
    <w:rPr>
      <w:rFonts w:ascii="仿宋_GB2312" w:hAnsi="仿宋_GB2312" w:eastAsia="仿宋_GB2312" w:cs="仿宋_GB2312"/>
      <w:color w:val="000000"/>
      <w:sz w:val="24"/>
      <w:szCs w:val="24"/>
      <w:lang w:val="en-US" w:eastAsia="zh-CN" w:bidi="ar-SA"/>
    </w:rPr>
  </w:style>
  <w:style w:type="character" w:customStyle="1" w:styleId="26">
    <w:name w:val="正文文本 Char"/>
    <w:basedOn w:val="22"/>
    <w:link w:val="6"/>
    <w:qFormat/>
    <w:uiPriority w:val="99"/>
    <w:rPr>
      <w:sz w:val="21"/>
      <w:szCs w:val="21"/>
    </w:rPr>
  </w:style>
  <w:style w:type="character" w:customStyle="1" w:styleId="27">
    <w:name w:val="页脚 Char"/>
    <w:basedOn w:val="22"/>
    <w:link w:val="15"/>
    <w:qFormat/>
    <w:uiPriority w:val="99"/>
    <w:rPr>
      <w:sz w:val="18"/>
      <w:szCs w:val="18"/>
    </w:rPr>
  </w:style>
  <w:style w:type="character" w:customStyle="1" w:styleId="28">
    <w:name w:val="页眉 Char"/>
    <w:basedOn w:val="22"/>
    <w:link w:val="17"/>
    <w:qFormat/>
    <w:uiPriority w:val="99"/>
    <w:rPr>
      <w:kern w:val="2"/>
      <w:sz w:val="18"/>
      <w:szCs w:val="18"/>
    </w:rPr>
  </w:style>
  <w:style w:type="paragraph" w:customStyle="1" w:styleId="29">
    <w:name w:val="小节标题"/>
    <w:basedOn w:val="1"/>
    <w:qFormat/>
    <w:uiPriority w:val="99"/>
    <w:pPr>
      <w:widowControl/>
      <w:spacing w:line="351" w:lineRule="atLeast"/>
    </w:pPr>
    <w:rPr>
      <w:rFonts w:eastAsia="黑体"/>
      <w:color w:val="000000"/>
      <w:kern w:val="0"/>
      <w:u w:color="000000"/>
    </w:rPr>
  </w:style>
  <w:style w:type="character" w:customStyle="1" w:styleId="30">
    <w:name w:val="font01"/>
    <w:basedOn w:val="22"/>
    <w:qFormat/>
    <w:uiPriority w:val="99"/>
    <w:rPr>
      <w:rFonts w:ascii="宋体" w:hAnsi="宋体" w:eastAsia="宋体" w:cs="宋体"/>
      <w:color w:val="000000"/>
      <w:sz w:val="22"/>
      <w:szCs w:val="22"/>
      <w:u w:val="none"/>
    </w:rPr>
  </w:style>
  <w:style w:type="character" w:customStyle="1" w:styleId="31">
    <w:name w:val="font11"/>
    <w:basedOn w:val="22"/>
    <w:qFormat/>
    <w:uiPriority w:val="99"/>
    <w:rPr>
      <w:rFonts w:ascii="Times New Roman" w:hAnsi="Times New Roman" w:cs="Times New Roman"/>
      <w:color w:val="000000"/>
      <w:sz w:val="22"/>
      <w:szCs w:val="22"/>
      <w:u w:val="none"/>
    </w:rPr>
  </w:style>
  <w:style w:type="paragraph" w:customStyle="1" w:styleId="32">
    <w:name w:val="Char"/>
    <w:basedOn w:val="1"/>
    <w:qFormat/>
    <w:uiPriority w:val="0"/>
    <w:rPr>
      <w:szCs w:val="20"/>
    </w:rPr>
  </w:style>
  <w:style w:type="paragraph" w:customStyle="1" w:styleId="33">
    <w:name w:val="样式4"/>
    <w:qFormat/>
    <w:uiPriority w:val="0"/>
    <w:pPr>
      <w:widowControl w:val="0"/>
      <w:pBdr>
        <w:top w:val="single" w:color="auto" w:sz="2" w:space="1"/>
      </w:pBdr>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34">
    <w:name w:val="样式3"/>
    <w:qFormat/>
    <w:uiPriority w:val="0"/>
    <w:pPr>
      <w:widowControl w:val="0"/>
      <w:pBdr>
        <w:top w:val="single" w:color="auto" w:sz="12" w:space="1"/>
      </w:pBdr>
      <w:snapToGrid w:val="0"/>
      <w:jc w:val="left"/>
    </w:pPr>
    <w:rPr>
      <w:rFonts w:ascii="Times New Roman" w:hAnsi="Times New Roman" w:eastAsia="宋体" w:cs="Times New Roman"/>
      <w:kern w:val="2"/>
      <w:sz w:val="18"/>
      <w:szCs w:val="18"/>
      <w:lang w:val="en-US" w:eastAsia="zh-CN" w:bidi="ar-SA"/>
    </w:rPr>
  </w:style>
  <w:style w:type="paragraph" w:customStyle="1" w:styleId="35">
    <w:name w:val="正文缩进1"/>
    <w:qFormat/>
    <w:uiPriority w:val="0"/>
    <w:pPr>
      <w:widowControl w:val="0"/>
      <w:autoSpaceDE w:val="0"/>
      <w:autoSpaceDN w:val="0"/>
      <w:adjustRightInd w:val="0"/>
      <w:ind w:firstLine="420"/>
      <w:jc w:val="left"/>
    </w:pPr>
    <w:rPr>
      <w:rFonts w:ascii="宋体" w:hAnsi="Calibri" w:eastAsia="宋体" w:cs="Times New Roman"/>
      <w:kern w:val="2"/>
      <w:sz w:val="24"/>
      <w:szCs w:val="22"/>
      <w:lang w:val="en-US" w:eastAsia="zh-CN" w:bidi="ar-SA"/>
    </w:rPr>
  </w:style>
  <w:style w:type="paragraph" w:customStyle="1" w:styleId="36">
    <w:name w:val="索引 11"/>
    <w:next w:val="1"/>
    <w:qFormat/>
    <w:uiPriority w:val="0"/>
    <w:pPr>
      <w:widowControl w:val="0"/>
      <w:spacing w:line="360" w:lineRule="auto"/>
      <w:jc w:val="both"/>
    </w:pPr>
    <w:rPr>
      <w:rFonts w:ascii="仿宋_GB2312" w:hAnsi="Times New Roman" w:eastAsia="仿宋_GB2312"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15521</Words>
  <Characters>16131</Characters>
  <Lines>143</Lines>
  <Paragraphs>40</Paragraphs>
  <TotalTime>3</TotalTime>
  <ScaleCrop>false</ScaleCrop>
  <LinksUpToDate>false</LinksUpToDate>
  <CharactersWithSpaces>17440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2021-06-07T03:54:00Z</dcterms:created>
  <dc:creator>Mac</dc:creator>
  <cp:lastModifiedBy>兴华</cp:lastModifiedBy>
  <cp:lastPrinted>2025-03-24T06:30:00Z</cp:lastPrinted>
  <dcterms:modified xsi:type="dcterms:W3CDTF">2025-10-11T00:42:57Z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0734745433B147C0BF0503A14954D151_13</vt:lpwstr>
  </property>
  <property fmtid="{D5CDD505-2E9C-101B-9397-08002B2CF9AE}" pid="4" name="KSOTemplateDocerSaveRecord">
    <vt:lpwstr>eyJoZGlkIjoiZGMyOWFlYWU4M2E0MTViN2Q1YmQ5MjExYTBjNTY4MjciLCJ1c2VySWQiOiIyMzAzNTM2OTMifQ==</vt:lpwstr>
  </property>
</Properties>
</file>